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Cerebras Systems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Class A Common Stock, $0.00001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05/29/2026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JPMORGAN CHASE &amp; CO</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DELAWARE</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3,367,347.00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6,382.00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3,479,884.00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6,619.00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3,486,503.00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10.1 %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0640"/>
          </w:cols>
          <w:pgMar w:left="360" w:top="102" w:right="89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Cerebras Systems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1237 E. ARQUES AVE., SUNNYVALE, CALIFORNIA, 94085.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JPMORGAN CHASE &amp; CO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270 Park Avenue,,New York, NY 10017</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Class A Common Stock, $0.00001 par value per share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2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180"/>
        <w:spacing w:after="0" w:line="258" w:lineRule="auto"/>
        <w:rPr>
          <w:sz w:val="20"/>
          <w:szCs w:val="20"/>
          <w:color w:val="auto"/>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non-U.S. institution in accordance with § 240.13d-1(b)(1)(ii)(J). If filing as a non-U.S. institution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2">
            <w:col w:w="620" w:space="300"/>
            <w:col w:w="9720"/>
          </w:cols>
          <w:pgMar w:left="360" w:top="102" w:right="899" w:bottom="0" w:gutter="0" w:footer="0" w:header="0"/>
          <w:type w:val="continuous"/>
        </w:sectPr>
      </w:pPr>
    </w:p>
    <w:bookmarkStart w:id="2" w:name="page3"/>
    <w:bookmarkEnd w:id="2"/>
    <w:p>
      <w:pPr>
        <w:jc w:val="right"/>
        <w:ind w:right="6660"/>
        <w:spacing w:after="0"/>
        <w:rPr>
          <w:sz w:val="20"/>
          <w:szCs w:val="20"/>
          <w:color w:val="auto"/>
        </w:rPr>
      </w:pPr>
      <w:r>
        <w:rPr>
          <w:rFonts w:ascii="Times New Roman" w:cs="Times New Roman" w:eastAsia="Times New Roman" w:hAnsi="Times New Roman"/>
          <w:sz w:val="22"/>
          <w:szCs w:val="22"/>
          <w:color w:val="auto"/>
        </w:rPr>
        <w:t>accordance with § 240.13d-1(b)(1)(ii)(J),</w:t>
      </w:r>
    </w:p>
    <w:p>
      <w:pPr>
        <w:spacing w:after="0" w:line="15" w:lineRule="exact"/>
        <w:rPr>
          <w:sz w:val="20"/>
          <w:szCs w:val="20"/>
          <w:color w:val="auto"/>
        </w:rPr>
      </w:pPr>
    </w:p>
    <w:p>
      <w:pPr>
        <w:jc w:val="right"/>
        <w:ind w:right="664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Group, in accordance with Rule 240.13d-1(b)(1)(ii)(K).</w:t>
      </w:r>
    </w:p>
    <w:p>
      <w:pPr>
        <w:spacing w:after="0" w:line="346"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3,486,503</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10.1 %</w:t>
      </w:r>
    </w:p>
    <w:p>
      <w:pPr>
        <w:spacing w:after="0" w:line="20"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11"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3,367,347</w:t>
      </w:r>
    </w:p>
    <w:p>
      <w:pPr>
        <w:spacing w:after="0" w:line="1" w:lineRule="exact"/>
        <w:rPr>
          <w:rFonts w:ascii="Times New Roman" w:cs="Times New Roman" w:eastAsia="Times New Roman" w:hAnsi="Times New Roman"/>
          <w:sz w:val="22"/>
          <w:szCs w:val="22"/>
          <w:color w:val="auto"/>
        </w:rPr>
      </w:pPr>
    </w:p>
    <w:p>
      <w:pPr>
        <w:ind w:right="6240" w:firstLine="6"/>
        <w:spacing w:after="0" w:line="486" w:lineRule="auto"/>
        <w:tabs>
          <w:tab w:leader="none" w:pos="318"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6,382</w:t>
      </w:r>
    </w:p>
    <w:p>
      <w:pPr>
        <w:spacing w:after="0" w:line="1"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3,479,884</w:t>
      </w:r>
    </w:p>
    <w:p>
      <w:pPr>
        <w:spacing w:after="0" w:line="1"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6,619</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pacing w:after="0" w:line="250" w:lineRule="exact"/>
        <w:rPr>
          <w:sz w:val="20"/>
          <w:szCs w:val="20"/>
          <w:color w:val="auto"/>
        </w:rPr>
      </w:pPr>
    </w:p>
    <w:p>
      <w:pPr>
        <w:ind w:right="100"/>
        <w:spacing w:after="0" w:line="239" w:lineRule="auto"/>
        <w:rPr>
          <w:sz w:val="20"/>
          <w:szCs w:val="20"/>
          <w:color w:val="auto"/>
        </w:rPr>
      </w:pPr>
      <w:r>
        <w:rPr>
          <w:rFonts w:ascii="Times New Roman" w:cs="Times New Roman" w:eastAsia="Times New Roman" w:hAnsi="Times New Roman"/>
          <w:sz w:val="22"/>
          <w:szCs w:val="22"/>
          <w:color w:val="auto"/>
        </w:rPr>
        <w:t>J.P. Morgan Trust Company of Delaware; J.P. Morgan Securities LLC; JPMorgan Chase Bank, National Association; JPMorgan Asset Management (UK) Limited; J.P. MORGAN SE; J.P. Morgan (Suisse) SA; J.P. Morgan Investment Management Inc.; JPMorgan Asset Management (Taiwan) Limited; JPMorgan Asset Management (China) Company Limited; J.P. Morgan Wealth Management Solutions Inc.</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38" w:orient="portrait"/>
          <w:cols w:equalWidth="0" w:num="2">
            <w:col w:w="620" w:space="300"/>
            <w:col w:w="10220"/>
          </w:cols>
          <w:pgMar w:left="360" w:top="111"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color w:val="auto"/>
        </w:rPr>
        <w:t>JPMORGAN CHASE &amp; CO</w:t>
      </w:r>
    </w:p>
    <w:p>
      <w:pPr>
        <w:sectPr>
          <w:pgSz w:w="11900" w:h="16838" w:orient="portrait"/>
          <w:cols w:equalWidth="0" w:num="1">
            <w:col w:w="11140"/>
          </w:cols>
          <w:pgMar w:left="360" w:top="111" w:right="399" w:bottom="0" w:gutter="0" w:footer="0" w:header="0"/>
          <w:type w:val="continuous"/>
        </w:sectPr>
      </w:pPr>
    </w:p>
    <w:bookmarkStart w:id="3" w:name="page4"/>
    <w:bookmarkEnd w:id="3"/>
    <w:p>
      <w:pPr>
        <w:ind w:left="1720"/>
        <w:spacing w:after="0"/>
        <w:tabs>
          <w:tab w:leader="none" w:pos="28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Rachel Tsvaygoft</w:t>
      </w:r>
    </w:p>
    <w:p>
      <w:pPr>
        <w:spacing w:after="0" w:line="45"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22"/>
          <w:szCs w:val="22"/>
          <w:color w:val="auto"/>
        </w:rPr>
        <w:t>Name/Title: Vice President</w:t>
      </w:r>
    </w:p>
    <w:p>
      <w:pPr>
        <w:spacing w:after="0" w:line="44" w:lineRule="exact"/>
        <w:rPr>
          <w:sz w:val="20"/>
          <w:szCs w:val="20"/>
          <w:color w:val="auto"/>
        </w:rPr>
      </w:pPr>
    </w:p>
    <w:p>
      <w:pPr>
        <w:ind w:left="1720"/>
        <w:spacing w:after="0"/>
        <w:tabs>
          <w:tab w:leader="none" w:pos="28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06/04/2026</w:t>
      </w:r>
    </w:p>
    <w:sectPr>
      <w:pgSz w:w="11900" w:h="16838" w:orient="portrait"/>
      <w:cols w:equalWidth="0" w:num="1">
        <w:col w:w="9019"/>
      </w:cols>
      <w:pgMar w:left="1440" w:top="1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9495CFF"/>
    <w:multiLevelType w:val="hybridMultilevel"/>
    <w:lvl w:ilvl="0">
      <w:lvlJc w:val="left"/>
      <w:lvlText w:val="2"/>
      <w:numFmt w:val="bullet"/>
      <w:start w:val="1"/>
    </w:lvl>
  </w:abstractNum>
  <w:abstractNum w:abstractNumId="1">
    <w:nsid w:val="2AE8944A"/>
    <w:multiLevelType w:val="hybridMultilevel"/>
    <w:lvl w:ilvl="0">
      <w:lvlJc w:val="left"/>
      <w:lvlText w:val="3"/>
      <w:numFmt w:val="bullet"/>
      <w:start w:val="1"/>
    </w:lvl>
  </w:abstractNum>
  <w:abstractNum w:abstractNumId="2">
    <w:nsid w:val="625558EC"/>
    <w:multiLevelType w:val="hybridMultilevel"/>
    <w:lvl w:ilvl="0">
      <w:lvlJc w:val="left"/>
      <w:lvlText w:val="(%1)"/>
      <w:numFmt w:val="lowerLetter"/>
      <w:start w:val="11"/>
    </w:lvl>
  </w:abstractNum>
  <w:abstractNum w:abstractNumId="3">
    <w:nsid w:val="238E1F29"/>
    <w:multiLevelType w:val="hybridMultilevel"/>
    <w:lvl w:ilvl="0">
      <w:lvlJc w:val="left"/>
      <w:lvlText w:val="(%1)"/>
      <w:numFmt w:val="lowerLetter"/>
      <w:start w:val="3"/>
    </w:lvl>
  </w:abstractNum>
  <w:abstractNum w:abstractNumId="4">
    <w:nsid w:val="46E87CCD"/>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2026-06-04T11:59:47Z</dcterms:created>
  <dcterms:modified xsi:type="dcterms:W3CDTF">2026-06-04T11:59:47Z</dcterms:modified>
</cp:coreProperties>
</file>