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5960-1_4seq1.xml.htm"/>
      <w:bookmarkStart w:id="1" w:name="kstm2625960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Vishria Eric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BENCHMARK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2965 WOODSIDE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WOODSIDE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Cerebras Systems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CBRS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26"/>
        <w:gridCol w:w="903"/>
        <w:gridCol w:w="772"/>
        <w:gridCol w:w="600"/>
        <w:gridCol w:w="347"/>
        <w:gridCol w:w="926"/>
        <w:gridCol w:w="449"/>
        <w:gridCol w:w="666"/>
        <w:gridCol w:w="1154"/>
        <w:gridCol w:w="991"/>
        <w:gridCol w:w="107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44,507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275,854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pro-rata, in-kind distribution by Benchmark Capital Partners VIII, L.P. ("BCP VIII") and its affiliated funds, not for additional consideration, to its partners, including their respective members and assignees, in accordance with a Rule 10b5-1 trading plan adopted by BCP VIII on May 14,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are held by entities controlled by the reporting person.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An-Yen Hu, by power of attorney for Eric Vishria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17474" TargetMode="External"/><Relationship Id="rId5" Type="http://schemas.openxmlformats.org/officeDocument/2006/relationships/hyperlink" Target="http://www.sec.gov/cgi-bin/browse-edgar?action=getcompany&amp;CIK=00020217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628</Words>
  <Characters>3412</Characters>
  <CharactersWithSpaces>3971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