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Cerebras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Altimeter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7,160,181.00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7,160,181.00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7,160,181.00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for Rows 6 and 8: Comprised of 2,516,377 outstanding shares of Class A common stock, $0.00001 par value per share ("Class A Shares") of Cerebras Systems Inc. (the "Issuer") and 4,643,804 Class A Shares issuable upon conversion of 4,643,804 shares of Class B common stock, $0.00001 par value per share ("Class B Shares") of the Issuer beneficially owned by the Reporting Person as of August 14, 2026. Class B Shares are convertible to Class A Shares at any time. Note for Row 11: Based upon (i) 112,247,109 Class A Shares outstanding as of August 5, 2026, as reported by the Issuer in its Quarterly Report on Form 10-Q for the period ended June 30, 2026, as filed with the Securities and Exchange Commission on August 12, 2026 (the "Q2 10-Q") and (ii) 4,643,804 Class A Shares issuable upon conversion of 4,643,804 Class B Shares beneficially owned by the Reporting Person as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Altimeter Capital Management General Partner,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7,160,181.00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7,160,181.00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7,160,181.00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for Rows 6 and 8: Comprised of 2,516,377 outstanding Class A Shares and 4,643,804 Class A Shares issuable upon conversion of Class B Shares beneficially owned by the Reporting Person as of August 14, 2026. Class B Shares are convertible to Class A shares at any time. Note for Row 11: Based upon (i) 112,247,109 Class A Shares outstanding as of August 5, 2026, as reported by the Issuer in the Q2 10-Q and (ii) 4,643,804 Class A Shares issuable upon conversion of 4,643,804 Class B Shares beneficially owned by the Reporting Person as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Gerstner Bradley Thomas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66,251.00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7,160,181.00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66,251.00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7,160,181.00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7,226,432.00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for Rows 6 and 8: Comprised of 1,962,273 outstanding Class A Shares and 4,643,804 Class A Shares issuable upon conversion of Class B Shares beneficially owned by the Reporting Person as of August 14, 2026. Class B Shares are convertible to Class A shares at any time. Note for Rows 5 and 7: Comprised of 66,251 outstanding Class A shares beneficially owned by the Reporting Person. Note for Row 11: Based upon (i) 112,247,109 Class A shares outstanding as of August 5, 2026, as reported by the Issuer in the Q2 10-Q and (ii) 4,643,804 Class A Shares issuable upon conversion of 4,643,804 Class B Shares beneficially owned by the Reporting Person as of August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Cerebras Systems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1237 E. ARQUES AVE., SUNNYVALE, CALIFORNIA, 94085</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on behalf of Altimeter Capital Management General Partner LLC (the "General Partner"), Altimeter Capital Management, LP (the "Investment Manager"), and Brad Gerstner, who are collectively referred to as the "Reporting Persons." The General Partner is the sole general partner of the Investment Manager. Mr. Gerstner is the sole managing member of the General Partner. The Reporting Persons have entered into a Joint Filing Agreement, dated as of August 14, 2026, a copy of which is attached as Exhibit 99.1.</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Reporting Persons with respect to the shares reported hereunder is 2550 Sand Hill Rd, Suite 150,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Investment Manager and the Fund are a Delaware limited partnership. Each of the General Partner and the Fund General Partner is a Delaware limited liability company. Mr. Gerstner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August 14, 2026, see responses to Item 9 on each cover page. Class A Shares reported as beneficially owned for the General Partner the Investment Manager are held of record by several private funds (collectively, the "Altimeter Entities") for which the Investment Manager serves as the investment manager. As the managing member of the General Partner, Mr. Gerstner may be deemed to beneficially own the Class A Shares beneficially owned by the Investment Manager and General Partner. As of June 30, 2026, the Reporting Persons beneficially owned an aggregate of 7,225,037 Class A shares of Common Stock, comprised of 6,472,702 Class B Shares and 752,335 Class A Shares, representing approximately 7.3% of the outstanding Class A Shares, as calculated pursuant to Rule 13d-3 under the Exchange Act, based upon a total of 92,130,188 Class A Shares outstanding as of June 17, 2026, as reported by the Issuer in its Quarterly Report on the Form 10-Q for the quarter ended March 31, 2026, filed with the Securities and Exchange Commission on June 24, 2026. As of May 31, 2026, the Reporting Persons beneficially owned an aggregate of 7,707,909 Class A Shares, comprised of 169,269 outstanding Class A Shares and 7,538,640 Class A shares issuable upon conversion of Class B shares and representing approximately 18.3% of the outstanding Class A Shares, as calculated pursuant to Rule 13d-3 under the Exchange Act, based upon a total of 34,500,000 Class A Shares outstanding immediately after completion of the Issuer's initial public offering (assuming exercise of the over-allotment option), as reported in the Issuer's registration statement on Form S-1 filed with the Securities and Exchange Commission on May 11, 2026.</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Altimeter Capital Management,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Annie Hancock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Annie Hancock,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39"/>
        <w:gridCol w:w="5066"/>
      </w:tblGrid>
      <w:tr>
        <w:trPr/>
        <w:tc>
          <w:tcPr>
            <w:tcW w:w="5139" w:type="dxa"/>
            <w:tcBorders/>
            <w:vAlign w:val="center"/>
          </w:tcPr>
          <w:p>
            <w:pPr>
              <w:pStyle w:val="TableContents"/>
              <w:bidi w:val="0"/>
              <w:spacing w:before="0" w:after="0"/>
              <w:jc w:val="left"/>
              <w:rPr/>
            </w:pPr>
            <w:r>
              <w:rPr/>
              <w:t> </w:t>
            </w:r>
          </w:p>
          <w:tbl>
            <w:tblPr>
              <w:tblW w:w="5206" w:type="dxa"/>
              <w:jc w:val="left"/>
              <w:tblInd w:w="0" w:type="dxa"/>
              <w:tblLayout w:type="fixed"/>
              <w:tblCellMar>
                <w:top w:w="28" w:type="dxa"/>
                <w:left w:w="28" w:type="dxa"/>
                <w:bottom w:w="28" w:type="dxa"/>
                <w:right w:w="28" w:type="dxa"/>
              </w:tblCellMar>
            </w:tblPr>
            <w:tblGrid>
              <w:gridCol w:w="5206"/>
            </w:tblGrid>
            <w:tr>
              <w:trPr/>
              <w:tc>
                <w:tcPr>
                  <w:tcW w:w="5206" w:type="dxa"/>
                  <w:tcBorders/>
                  <w:vAlign w:val="center"/>
                </w:tcPr>
                <w:p>
                  <w:pPr>
                    <w:pStyle w:val="TableContents"/>
                    <w:bidi w:val="0"/>
                    <w:spacing w:before="0" w:after="0"/>
                    <w:jc w:val="left"/>
                    <w:rPr/>
                  </w:pPr>
                  <w:r>
                    <w:rPr/>
                    <w:t>Altimeter Capital Management General Partner, LLC</w:t>
                  </w:r>
                </w:p>
              </w:tc>
            </w:tr>
          </w:tbl>
          <w:p>
            <w:pPr>
              <w:pStyle w:val="TableContents"/>
              <w:bidi w:val="0"/>
              <w:spacing w:before="0" w:after="283"/>
              <w:jc w:val="left"/>
              <w:rPr/>
            </w:pPr>
            <w:r>
              <w:rPr/>
            </w:r>
          </w:p>
        </w:tc>
        <w:tc>
          <w:tcPr>
            <w:tcW w:w="5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Annie Hancock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Annie Hancock, Chief Compliance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Gerstner Bradley Thomas</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Brad Gerstner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Brad Gerstner, individually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1837</Words>
  <Characters>9365</Characters>
  <CharactersWithSpaces>11154</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