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Cerebras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Atreides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10,543,836.00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10,543,836.00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10,543,836.00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Atreides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10,543,836.00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10,543,836.00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10,543,836.00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Gavin Baker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10,543,836.00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10,543,836.00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10,543,836.00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Cerebras Systems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1237 E. Arques Avenue, Sunnyvale, CALIFORNIA, 94085.</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(i) Atreides Management, LP, a Delaware limited partnership registered with the U.S. Securities and Exchange Commission (the "SEC"), which serves as the investment manager (the "Investment Manager") to certain investment funds and/or accounts (the "Funds"), with respect to the shares of Class A Common Stock (as defined in Item 2(d) below) held by the Funds; (ii) Atreides Management, LLC, a Delaware limited liability company (the "GP"), which serves as the general partner to the Investment Manager, with respect to the shares of Class A Common Stock held by the Funds; and (iii) Gavin Baker, a United States citizen, who serves as the managing member to the GP with respect to the shares of Class A Common Stock held by the Funds. The foregoing persons are hereinafter sometimes collectively referred to as the "Reporting Persons". Any disclosures herein with respect to persons other than the Reporting Persons are made on information and belief after making inquiry to the appropriate party.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Atreides Management, LP One International Place, Suite 4410 Boston, MA 02110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Item 2(a).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10,543,836* *6,733,750 of the shares of Class A Common Stock of Cerebras Systems Inc. reported as being beneficially owned by the Reporting Persons as of June 30, 2026, are included in this Schedule 13G because the Reporting Persons are deemed to beneficially own such shares because certain investment funds and separately managed accounts managed by Atreides Management, LP own 6,733,750 shares of Class B Common Stock of Cerebras Systems Inc. Each share of Class B Common Stock is convertible at any time at the option of the holder into one share of Class A Common Stock. Assuming the conversion of the Reporting Persons? Class B Common Stock into Class A Common Stock, the 10,543,836 shares of Class A Common Stock reported as being beneficially owned by the Reporting Persons in this Schedule 13G would represent 10.7% of the outstanding Class A Common Stock.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Row 8 of cover page for each Reporting Person. The percentages used herein and in the rest of this Schedule 13G are calculated based upon the 92,130,188 shares of Class A Common Stock reported to be outstanding by the Issuer as of June 17, 2026 in its Form 10-Q for the quarter ended March 31, 2026 filed with the SEC on June 24, 2026. Each Reporting Person hereby expressly disclaims beneficial ownership in the securities reported in this Schedule 13G except to the extent of its or his pecuniary interest therein (if any) and membership in a "group" as that term is described in Rule 13d-5(b)(1) of the Securities Exchange Act of 1934, as amended. Shares reported herein are (i) owned by certain investment funds and separately managed accounts managed by Atreides Management, LP; (ii) inclusive of call options exercisable within 60 days of June 30, 2026; and (iii) inclusive of Class B Common Stock as described above.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Atreides Foundation Master Fund LP, a private investment vehicle managed by Atreides Management, LP, has the right to receive and/or the power to direct the receipt of dividend from, or the proceeds from the sale of, more than five percent of the Class A Common Stock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Atreides Management, LP</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Laura Malone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General Counsel &amp; CCO</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Atreides Management,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Laura Malone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General Counsel &amp; CCO</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Gavin Baker</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Gavin Baker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9466" w:type="dxa"/>
        <w:jc w:val="left"/>
        <w:tblInd w:w="0" w:type="dxa"/>
        <w:tblLayout w:type="fixed"/>
        <w:tblCellMar>
          <w:top w:w="28" w:type="dxa"/>
          <w:left w:w="28" w:type="dxa"/>
          <w:bottom w:w="28" w:type="dxa"/>
          <w:right w:w="28" w:type="dxa"/>
        </w:tblCellMar>
      </w:tblPr>
      <w:tblGrid>
        <w:gridCol w:w="9466"/>
      </w:tblGrid>
      <w:tr>
        <w:trPr/>
        <w:tc>
          <w:tcPr>
            <w:tcW w:w="9466" w:type="dxa"/>
            <w:tcBorders/>
            <w:vAlign w:val="center"/>
          </w:tcPr>
          <w:p>
            <w:pPr>
              <w:pStyle w:val="TableContents"/>
              <w:bidi w:val="0"/>
              <w:spacing w:before="0" w:after="283"/>
              <w:jc w:val="center"/>
              <w:rPr>
                <w:b/>
              </w:rPr>
            </w:pPr>
            <w:r>
              <w:rPr>
                <w:b/>
              </w:rPr>
              <w:t xml:space="preserve">Exhibit Information </w:t>
            </w:r>
          </w:p>
        </w:tc>
      </w:tr>
      <w:tr>
        <w:trPr/>
        <w:tc>
          <w:tcPr>
            <w:tcW w:w="9466" w:type="dxa"/>
            <w:tcBorders/>
            <w:vAlign w:val="center"/>
          </w:tcPr>
          <w:p>
            <w:pPr>
              <w:pStyle w:val="TableContents"/>
              <w:bidi w:val="0"/>
              <w:spacing w:before="0" w:after="283"/>
              <w:jc w:val="left"/>
              <w:rPr/>
            </w:pPr>
            <w:r>
              <w:rPr/>
              <w:t xml:space="preserve">Exhibit 99: Joint Filing Agreement, dated August 14, 2026, by and among the Reporting Persons.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1632</Words>
  <Characters>8308</Characters>
  <CharactersWithSpaces>9895</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