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1" w:lineRule="exact"/>
        <w:rPr>
          <w:sz w:val="24"/>
          <w:szCs w:val="24"/>
          <w:color w:val="auto"/>
        </w:rPr>
      </w:pPr>
    </w:p>
    <w:p>
      <w:pPr>
        <w:ind w:left="320" w:right="20"/>
        <w:spacing w:after="0" w:line="28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-187325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-589915</wp:posOffset>
            </wp:positionV>
            <wp:extent cx="56515" cy="60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624205</wp:posOffset>
            </wp:positionV>
            <wp:extent cx="7001510" cy="8862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8862060"/>
                    </a:xfrm>
                    <a:prstGeom prst="rect">
                      <a:avLst/>
                    </a:prstGeom>
                    <a:noFill/>
                  </pic:spPr>
                </pic:pic>
              </a:graphicData>
            </a:graphic>
          </wp:anchor>
        </w:drawing>
      </w:r>
    </w:p>
    <w:p>
      <w:pPr>
        <w:spacing w:after="0" w:line="991" w:lineRule="exact"/>
        <w:rPr>
          <w:sz w:val="24"/>
          <w:szCs w:val="24"/>
          <w:color w:val="auto"/>
        </w:rPr>
      </w:pPr>
    </w:p>
    <w:p>
      <w:pPr>
        <w:sectPr>
          <w:pgSz w:w="11900" w:h="16877" w:orient="portrait"/>
          <w:cols w:equalWidth="0" w:num="2">
            <w:col w:w="2320" w:space="420"/>
            <w:col w:w="8340"/>
          </w:cols>
          <w:pgMar w:left="460" w:top="212"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40" w:type="dxa"/>
            <w:vAlign w:val="bottom"/>
            <w:gridSpan w:val="7"/>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gridSpan w:val="10"/>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320" w:type="dxa"/>
            <w:vAlign w:val="bottom"/>
            <w:gridSpan w:val="10"/>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Benchmark AI Infrastructure Management</w:t>
              </w:r>
            </w:hyperlink>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980" w:type="dxa"/>
            <w:vAlign w:val="bottom"/>
            <w:gridSpan w:val="10"/>
          </w:tcPr>
          <w:p>
            <w:pPr>
              <w:ind w:left="60"/>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Cerebras Systems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CBRS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320" w:type="dxa"/>
            <w:vAlign w:val="bottom"/>
            <w:gridSpan w:val="10"/>
            <w:vMerge w:val="continue"/>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0000EE"/>
            </w:tcBorders>
          </w:tcPr>
          <w:p>
            <w:pPr>
              <w:spacing w:after="0"/>
              <w:rPr>
                <w:sz w:val="5"/>
                <w:szCs w:val="5"/>
                <w:color w:val="auto"/>
              </w:rPr>
            </w:pPr>
          </w:p>
        </w:tc>
        <w:tc>
          <w:tcPr>
            <w:tcW w:w="100" w:type="dxa"/>
            <w:vAlign w:val="bottom"/>
            <w:tcBorders>
              <w:bottom w:val="single" w:sz="8" w:color="0000EE"/>
            </w:tcBorders>
          </w:tcPr>
          <w:p>
            <w:pPr>
              <w:spacing w:after="0"/>
              <w:rPr>
                <w:sz w:val="5"/>
                <w:szCs w:val="5"/>
                <w:color w:val="auto"/>
              </w:rPr>
            </w:pPr>
          </w:p>
        </w:tc>
        <w:tc>
          <w:tcPr>
            <w:tcW w:w="8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980" w:type="dxa"/>
            <w:vAlign w:val="bottom"/>
            <w:tcBorders>
              <w:bottom w:val="single" w:sz="8" w:color="0000EE"/>
            </w:tcBorders>
          </w:tcPr>
          <w:p>
            <w:pPr>
              <w:spacing w:after="0"/>
              <w:rPr>
                <w:sz w:val="5"/>
                <w:szCs w:val="5"/>
                <w:color w:val="auto"/>
              </w:rPr>
            </w:pPr>
          </w:p>
        </w:tc>
        <w:tc>
          <w:tcPr>
            <w:tcW w:w="240" w:type="dxa"/>
            <w:vAlign w:val="bottom"/>
            <w:tcBorders>
              <w:bottom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40" w:type="dxa"/>
            <w:vAlign w:val="bottom"/>
            <w:gridSpan w:val="4"/>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320" w:type="dxa"/>
            <w:vAlign w:val="bottom"/>
            <w:gridSpan w:val="10"/>
            <w:vMerge w:val="continue"/>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0" w:type="dxa"/>
            <w:vAlign w:val="bottom"/>
            <w:gridSpan w:val="5"/>
            <w:vMerge w:val="restart"/>
          </w:tcPr>
          <w:p>
            <w:pPr>
              <w:ind w:left="1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Borders>
              <w:top w:val="single" w:sz="8" w:color="0000EE"/>
            </w:tcBorders>
            <w:gridSpan w:val="3"/>
            <w:vMerge w:val="restart"/>
          </w:tcPr>
          <w:p>
            <w:pPr>
              <w:spacing w:after="0" w:line="186" w:lineRule="exact"/>
              <w:rPr>
                <w:rFonts w:ascii="Times New Roman" w:cs="Times New Roman" w:eastAsia="Times New Roman" w:hAnsi="Times New Roman"/>
                <w:sz w:val="19"/>
                <w:szCs w:val="19"/>
                <w:color w:val="0000EE"/>
                <w:w w:val="99"/>
              </w:rPr>
            </w:pPr>
            <w:hyperlink r:id="rId13">
              <w:r>
                <w:rPr>
                  <w:rFonts w:ascii="Times New Roman" w:cs="Times New Roman" w:eastAsia="Times New Roman" w:hAnsi="Times New Roman"/>
                  <w:sz w:val="19"/>
                  <w:szCs w:val="19"/>
                  <w:color w:val="0000EE"/>
                  <w:w w:val="99"/>
                </w:rPr>
                <w:t>Co., L.L.C.</w:t>
              </w:r>
            </w:hyperlink>
          </w:p>
        </w:tc>
        <w:tc>
          <w:tcPr>
            <w:tcW w:w="320" w:type="dxa"/>
            <w:vAlign w:val="bottom"/>
            <w:tcBorders>
              <w:top w:val="single" w:sz="8" w:color="0000EE"/>
            </w:tcBorders>
          </w:tcPr>
          <w:p>
            <w:pPr>
              <w:spacing w:after="0"/>
              <w:rPr>
                <w:sz w:val="5"/>
                <w:szCs w:val="5"/>
                <w:color w:val="auto"/>
              </w:rPr>
            </w:pPr>
          </w:p>
        </w:tc>
        <w:tc>
          <w:tcPr>
            <w:tcW w:w="112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tcBorders>
              <w:bottom w:val="single" w:sz="8" w:color="0000EE"/>
            </w:tcBorders>
            <w:gridSpan w:val="3"/>
            <w:vMerge w:val="continue"/>
          </w:tcPr>
          <w:p>
            <w:pPr>
              <w:spacing w:after="0"/>
              <w:rPr>
                <w:sz w:val="11"/>
                <w:szCs w:val="11"/>
                <w:color w:val="auto"/>
              </w:rPr>
            </w:pPr>
          </w:p>
        </w:tc>
        <w:tc>
          <w:tcPr>
            <w:tcW w:w="32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360" w:type="dxa"/>
            <w:vAlign w:val="bottom"/>
          </w:tcPr>
          <w:p>
            <w:pPr>
              <w:spacing w:after="0"/>
              <w:rPr>
                <w:sz w:val="11"/>
                <w:szCs w:val="11"/>
                <w:color w:val="auto"/>
              </w:rPr>
            </w:pPr>
          </w:p>
        </w:tc>
        <w:tc>
          <w:tcPr>
            <w:tcW w:w="1400" w:type="dxa"/>
            <w:vAlign w:val="bottom"/>
            <w:gridSpan w:val="5"/>
            <w:vMerge w:val="restart"/>
          </w:tcPr>
          <w:p>
            <w:pPr>
              <w:ind w:left="1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32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700" w:type="dxa"/>
            <w:vAlign w:val="bottom"/>
            <w:vMerge w:val="restart"/>
          </w:tcPr>
          <w:p>
            <w:pPr>
              <w:ind w:left="100"/>
              <w:spacing w:after="0" w:line="102" w:lineRule="exact"/>
              <w:rPr>
                <w:sz w:val="20"/>
                <w:szCs w:val="20"/>
                <w:color w:val="auto"/>
              </w:rPr>
            </w:pPr>
            <w:r>
              <w:rPr>
                <w:rFonts w:ascii="Arial" w:cs="Arial" w:eastAsia="Arial" w:hAnsi="Arial"/>
                <w:sz w:val="11"/>
                <w:szCs w:val="11"/>
                <w:color w:val="auto"/>
              </w:rPr>
              <w:t>below)</w:t>
            </w: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vMerge w:val="restart"/>
          </w:tcPr>
          <w:p>
            <w:pPr>
              <w:ind w:left="160"/>
              <w:spacing w:after="0" w:line="102" w:lineRule="exact"/>
              <w:rPr>
                <w:sz w:val="20"/>
                <w:szCs w:val="20"/>
                <w:color w:val="auto"/>
              </w:rPr>
            </w:pPr>
            <w:r>
              <w:rPr>
                <w:rFonts w:ascii="Arial" w:cs="Arial" w:eastAsia="Arial" w:hAnsi="Arial"/>
                <w:sz w:val="11"/>
                <w:szCs w:val="11"/>
                <w:color w:val="auto"/>
              </w:rPr>
              <w:t>below)</w:t>
            </w: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980" w:type="dxa"/>
            <w:vAlign w:val="bottom"/>
            <w:gridSpan w:val="10"/>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10"/>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(First)</w:t>
            </w:r>
          </w:p>
        </w:tc>
        <w:tc>
          <w:tcPr>
            <w:tcW w:w="92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gridSpan w:val="10"/>
          </w:tcPr>
          <w:p>
            <w:pPr>
              <w:ind w:left="460"/>
              <w:spacing w:after="0"/>
              <w:rPr>
                <w:sz w:val="20"/>
                <w:szCs w:val="20"/>
                <w:color w:val="auto"/>
              </w:rPr>
            </w:pPr>
            <w:r>
              <w:rPr>
                <w:rFonts w:ascii="Times New Roman" w:cs="Times New Roman" w:eastAsia="Times New Roman" w:hAnsi="Times New Roman"/>
                <w:sz w:val="16"/>
                <w:szCs w:val="16"/>
                <w:color w:val="0000FF"/>
              </w:rPr>
              <w:t>05/15/2026</w:t>
            </w: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2965 WOODSIDE ROAD</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2820" w:type="dxa"/>
            <w:vAlign w:val="bottom"/>
            <w:tcBorders>
              <w:bottom w:val="single" w:sz="8" w:color="2C2C2C"/>
            </w:tcBorders>
            <w:gridSpan w:val="6"/>
          </w:tcPr>
          <w:p>
            <w:pPr>
              <w:spacing w:after="0"/>
              <w:rPr>
                <w:sz w:val="10"/>
                <w:szCs w:val="10"/>
                <w:color w:val="auto"/>
              </w:rPr>
            </w:pP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40" w:type="dxa"/>
            <w:vAlign w:val="bottom"/>
            <w:vMerge w:val="restart"/>
          </w:tcPr>
          <w:p>
            <w:pPr>
              <w:spacing w:after="0"/>
              <w:rPr>
                <w:sz w:val="3"/>
                <w:szCs w:val="3"/>
                <w:color w:val="auto"/>
              </w:rPr>
            </w:pPr>
          </w:p>
        </w:tc>
        <w:tc>
          <w:tcPr>
            <w:tcW w:w="40" w:type="dxa"/>
            <w:vAlign w:val="bottom"/>
            <w:vMerge w:val="restart"/>
          </w:tcPr>
          <w:p>
            <w:pPr>
              <w:spacing w:after="0"/>
              <w:rPr>
                <w:sz w:val="3"/>
                <w:szCs w:val="3"/>
                <w:color w:val="auto"/>
              </w:rPr>
            </w:pPr>
          </w:p>
        </w:tc>
        <w:tc>
          <w:tcPr>
            <w:tcW w:w="3560" w:type="dxa"/>
            <w:vAlign w:val="bottom"/>
            <w:gridSpan w:val="11"/>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80" w:type="dxa"/>
            <w:vAlign w:val="bottom"/>
            <w:vMerge w:val="restart"/>
          </w:tcPr>
          <w:p>
            <w:pPr>
              <w:spacing w:after="0"/>
              <w:rPr>
                <w:sz w:val="3"/>
                <w:szCs w:val="3"/>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35"/>
        </w:trPr>
        <w:tc>
          <w:tcPr>
            <w:tcW w:w="680" w:type="dxa"/>
            <w:vAlign w:val="bottom"/>
            <w:gridSpan w:val="4"/>
            <w:vMerge w:val="restart"/>
          </w:tcPr>
          <w:p>
            <w:pPr>
              <w:ind w:left="80"/>
              <w:spacing w:after="0"/>
              <w:rPr>
                <w:sz w:val="20"/>
                <w:szCs w:val="20"/>
                <w:color w:val="auto"/>
              </w:rPr>
            </w:pPr>
            <w:r>
              <w:rPr>
                <w:rFonts w:ascii="Arial" w:cs="Arial" w:eastAsia="Arial" w:hAnsi="Arial"/>
                <w:sz w:val="12"/>
                <w:szCs w:val="12"/>
                <w:color w:val="auto"/>
              </w:rPr>
              <w:t>(Street)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3560" w:type="dxa"/>
            <w:vAlign w:val="bottom"/>
            <w:gridSpan w:val="11"/>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34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6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WOODSIDE</w:t>
            </w: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94062</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92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2"/>
                <w:szCs w:val="12"/>
                <w:color w:val="auto"/>
              </w:rPr>
              <w:t>(State)</w:t>
            </w:r>
          </w:p>
        </w:tc>
        <w:tc>
          <w:tcPr>
            <w:tcW w:w="92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040" w:type="dxa"/>
            <w:vAlign w:val="bottom"/>
            <w:tcBorders>
              <w:bottom w:val="single" w:sz="8" w:color="2C2C2C"/>
            </w:tcBorders>
            <w:gridSpan w:val="4"/>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1120" w:type="dxa"/>
            <w:vAlign w:val="bottom"/>
            <w:tcBorders>
              <w:top w:val="single" w:sz="8" w:color="2C2C2C"/>
            </w:tcBorders>
          </w:tcPr>
          <w:p>
            <w:pPr>
              <w:spacing w:after="0"/>
              <w:rPr>
                <w:sz w:val="20"/>
                <w:szCs w:val="20"/>
                <w:color w:val="auto"/>
              </w:rPr>
            </w:pPr>
          </w:p>
        </w:tc>
        <w:tc>
          <w:tcPr>
            <w:tcW w:w="6420" w:type="dxa"/>
            <w:vAlign w:val="bottom"/>
            <w:tcBorders>
              <w:top w:val="single" w:sz="8" w:color="2C2C2C"/>
            </w:tcBorders>
            <w:gridSpan w:val="23"/>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40" w:type="dxa"/>
            <w:vAlign w:val="bottom"/>
            <w:gridSpan w:val="7"/>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7"/>
          </w:tcPr>
          <w:p>
            <w:pPr>
              <w:ind w:left="40"/>
              <w:spacing w:after="0"/>
              <w:rPr>
                <w:sz w:val="20"/>
                <w:szCs w:val="20"/>
                <w:color w:val="auto"/>
              </w:rPr>
            </w:pPr>
            <w:r>
              <w:rPr>
                <w:rFonts w:ascii="Arial" w:cs="Arial" w:eastAsia="Arial" w:hAnsi="Arial"/>
                <w:sz w:val="11"/>
                <w:szCs w:val="11"/>
                <w:b w:val="1"/>
                <w:bCs w:val="1"/>
                <w:color w:val="auto"/>
              </w:rPr>
              <w:t>2. Transaction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500" w:type="dxa"/>
            <w:vAlign w:val="bottom"/>
          </w:tcPr>
          <w:p>
            <w:pPr>
              <w:spacing w:after="0"/>
              <w:rPr>
                <w:sz w:val="13"/>
                <w:szCs w:val="13"/>
                <w:color w:val="auto"/>
              </w:rPr>
            </w:pPr>
          </w:p>
        </w:tc>
        <w:tc>
          <w:tcPr>
            <w:tcW w:w="19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7"/>
          </w:tcPr>
          <w:p>
            <w:pPr>
              <w:ind w:left="40"/>
              <w:spacing w:after="0" w:line="122"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11"/>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6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gridSpan w:val="4"/>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20"/>
              <w:spacing w:after="0" w:line="122"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gridSpan w:val="2"/>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400" w:type="dxa"/>
            <w:vAlign w:val="bottom"/>
            <w:tcBorders>
              <w:bottom w:val="single" w:sz="8" w:color="2C2C2C"/>
            </w:tcBorders>
            <w:gridSpan w:val="2"/>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3"/>
          </w:tcPr>
          <w:p>
            <w:pPr>
              <w:spacing w:after="0"/>
              <w:rPr>
                <w:sz w:val="6"/>
                <w:szCs w:val="6"/>
                <w:color w:val="auto"/>
              </w:rPr>
            </w:pPr>
          </w:p>
        </w:tc>
        <w:tc>
          <w:tcPr>
            <w:tcW w:w="2520" w:type="dxa"/>
            <w:vAlign w:val="bottom"/>
            <w:tcBorders>
              <w:bottom w:val="single" w:sz="8" w:color="2C2C2C"/>
            </w:tcBorders>
            <w:gridSpan w:val="6"/>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20" w:type="dxa"/>
            <w:vAlign w:val="bottom"/>
            <w:gridSpan w:val="23"/>
          </w:tcPr>
          <w:p>
            <w:pPr>
              <w:jc w:val="center"/>
              <w:ind w:right="164"/>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gridSpan w:val="19"/>
          </w:tcPr>
          <w:p>
            <w:pPr>
              <w:jc w:val="center"/>
              <w:ind w:right="339"/>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680" w:type="dxa"/>
            <w:vAlign w:val="bottom"/>
            <w:gridSpan w:val="4"/>
          </w:tcPr>
          <w:p>
            <w:pPr>
              <w:ind w:left="80"/>
              <w:spacing w:after="0"/>
              <w:rPr>
                <w:sz w:val="20"/>
                <w:szCs w:val="20"/>
                <w:color w:val="auto"/>
              </w:rPr>
            </w:pPr>
            <w:r>
              <w:rPr>
                <w:rFonts w:ascii="Arial" w:cs="Arial" w:eastAsia="Arial" w:hAnsi="Arial"/>
                <w:sz w:val="11"/>
                <w:szCs w:val="11"/>
                <w:b w:val="1"/>
                <w:bCs w:val="1"/>
                <w:color w:val="auto"/>
              </w:rPr>
              <w:t>1. Title of</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320" w:type="dxa"/>
            <w:vAlign w:val="bottom"/>
          </w:tcPr>
          <w:p>
            <w:pPr>
              <w:spacing w:after="0"/>
              <w:rPr>
                <w:sz w:val="13"/>
                <w:szCs w:val="13"/>
                <w:color w:val="auto"/>
              </w:rPr>
            </w:pPr>
          </w:p>
        </w:tc>
        <w:tc>
          <w:tcPr>
            <w:tcW w:w="112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5"/>
          </w:tcPr>
          <w:p>
            <w:pPr>
              <w:ind w:left="6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68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6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w w:val="95"/>
              </w:rPr>
              <w:t>Conversion</w:t>
            </w:r>
          </w:p>
        </w:tc>
        <w:tc>
          <w:tcPr>
            <w:tcW w:w="11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Execution Date,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20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Derivative Securities</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1"/>
        </w:trPr>
        <w:tc>
          <w:tcPr>
            <w:tcW w:w="68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w w:val="97"/>
              </w:rPr>
              <w:t>or Exercise</w:t>
            </w:r>
          </w:p>
        </w:tc>
        <w:tc>
          <w:tcPr>
            <w:tcW w:w="112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(Month/Day/Year)</w:t>
            </w:r>
          </w:p>
        </w:tc>
        <w:tc>
          <w:tcPr>
            <w:tcW w:w="9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20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Acquired (A) or</w:t>
            </w:r>
          </w:p>
        </w:tc>
        <w:tc>
          <w:tcPr>
            <w:tcW w:w="1420" w:type="dxa"/>
            <w:vAlign w:val="bottom"/>
            <w:gridSpan w:val="3"/>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68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Price of</w:t>
            </w:r>
          </w:p>
        </w:tc>
        <w:tc>
          <w:tcPr>
            <w:tcW w:w="1120" w:type="dxa"/>
            <w:vAlign w:val="bottom"/>
          </w:tcPr>
          <w:p>
            <w:pPr>
              <w:spacing w:after="0"/>
              <w:rPr>
                <w:sz w:val="10"/>
                <w:szCs w:val="10"/>
                <w:color w:val="auto"/>
              </w:rPr>
            </w:pPr>
          </w:p>
        </w:tc>
        <w:tc>
          <w:tcPr>
            <w:tcW w:w="9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w w:val="95"/>
              </w:rPr>
              <w:t>(Month/Day/Year)</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Disposed of (D)</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(Instr. 3, 4 and 5)</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restart"/>
          </w:tcPr>
          <w:p>
            <w:pPr>
              <w:ind w:left="40"/>
              <w:spacing w:after="0" w:line="122" w:lineRule="exact"/>
              <w:rPr>
                <w:sz w:val="20"/>
                <w:szCs w:val="20"/>
                <w:color w:val="auto"/>
              </w:rPr>
            </w:pPr>
            <w:r>
              <w:rPr>
                <w:rFonts w:ascii="Arial" w:cs="Arial" w:eastAsia="Arial" w:hAnsi="Arial"/>
                <w:sz w:val="11"/>
                <w:szCs w:val="11"/>
                <w:b w:val="1"/>
                <w:bCs w:val="1"/>
                <w:color w:val="auto"/>
              </w:rPr>
              <w:t>Security</w:t>
            </w: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70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5"/>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gridSpan w:val="4"/>
          </w:tcPr>
          <w:p>
            <w:pPr>
              <w:ind w:left="60"/>
              <w:spacing w:after="0"/>
              <w:rPr>
                <w:sz w:val="20"/>
                <w:szCs w:val="20"/>
                <w:color w:val="auto"/>
              </w:rPr>
            </w:pPr>
            <w:r>
              <w:rPr>
                <w:rFonts w:ascii="Arial" w:cs="Arial" w:eastAsia="Arial" w:hAnsi="Arial"/>
                <w:sz w:val="11"/>
                <w:szCs w:val="11"/>
                <w:b w:val="1"/>
                <w:bCs w:val="1"/>
                <w:color w:val="auto"/>
                <w:w w:val="91"/>
              </w:rPr>
              <w:t>(A)</w:t>
            </w:r>
          </w:p>
        </w:tc>
        <w:tc>
          <w:tcPr>
            <w:tcW w:w="980" w:type="dxa"/>
            <w:vAlign w:val="bottom"/>
          </w:tcPr>
          <w:p>
            <w:pPr>
              <w:ind w:left="4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8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0000FF"/>
              </w:rPr>
              <w:t>Series H</w:t>
            </w: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9"/>
              </w:rPr>
              <w:t>2,527,646</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680" w:type="dxa"/>
            <w:vAlign w:val="bottom"/>
            <w:gridSpan w:val="4"/>
            <w:vMerge w:val="restart"/>
          </w:tcPr>
          <w:p>
            <w:pPr>
              <w:ind w:left="80"/>
              <w:spacing w:after="0" w:line="98" w:lineRule="exact"/>
              <w:rPr>
                <w:sz w:val="20"/>
                <w:szCs w:val="20"/>
                <w:color w:val="auto"/>
              </w:rPr>
            </w:pPr>
            <w:r>
              <w:rPr>
                <w:rFonts w:ascii="Times New Roman" w:cs="Times New Roman" w:eastAsia="Times New Roman" w:hAnsi="Times New Roman"/>
                <w:sz w:val="11"/>
                <w:szCs w:val="11"/>
                <w:color w:val="0000FF"/>
              </w:rPr>
              <w:t>Preferred</w:t>
            </w:r>
          </w:p>
        </w:tc>
        <w:tc>
          <w:tcPr>
            <w:tcW w:w="640" w:type="dxa"/>
            <w:vAlign w:val="bottom"/>
            <w:gridSpan w:val="2"/>
            <w:vMerge w:val="continue"/>
          </w:tcPr>
          <w:p>
            <w:pPr>
              <w:spacing w:after="0"/>
              <w:rPr>
                <w:sz w:val="4"/>
                <w:szCs w:val="4"/>
                <w:color w:val="auto"/>
              </w:rPr>
            </w:pPr>
          </w:p>
        </w:tc>
        <w:tc>
          <w:tcPr>
            <w:tcW w:w="1120" w:type="dxa"/>
            <w:vAlign w:val="bottom"/>
            <w:vMerge w:val="restart"/>
          </w:tcPr>
          <w:p>
            <w:pPr>
              <w:ind w:left="300"/>
              <w:spacing w:after="0" w:line="98" w:lineRule="exact"/>
              <w:rPr>
                <w:sz w:val="20"/>
                <w:szCs w:val="20"/>
                <w:color w:val="auto"/>
              </w:rPr>
            </w:pPr>
            <w:r>
              <w:rPr>
                <w:rFonts w:ascii="Times New Roman" w:cs="Times New Roman" w:eastAsia="Times New Roman" w:hAnsi="Times New Roman"/>
                <w:sz w:val="11"/>
                <w:szCs w:val="11"/>
                <w:color w:val="0000FF"/>
              </w:rPr>
              <w:t>05/15/2026</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gridSpan w:val="5"/>
            <w:vMerge w:val="restart"/>
          </w:tcPr>
          <w:p>
            <w:pPr>
              <w:ind w:left="160"/>
              <w:spacing w:after="0" w:line="98" w:lineRule="exact"/>
              <w:rPr>
                <w:sz w:val="20"/>
                <w:szCs w:val="20"/>
                <w:color w:val="auto"/>
              </w:rPr>
            </w:pPr>
            <w:r>
              <w:rPr>
                <w:rFonts w:ascii="Times New Roman" w:cs="Times New Roman" w:eastAsia="Times New Roman" w:hAnsi="Times New Roman"/>
                <w:sz w:val="11"/>
                <w:szCs w:val="11"/>
                <w:color w:val="0000FF"/>
              </w:rPr>
              <w:t>C</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vMerge w:val="restart"/>
          </w:tcPr>
          <w:p>
            <w:pPr>
              <w:ind w:left="440"/>
              <w:spacing w:after="0" w:line="98" w:lineRule="exact"/>
              <w:rPr>
                <w:sz w:val="20"/>
                <w:szCs w:val="20"/>
                <w:color w:val="auto"/>
              </w:rPr>
            </w:pPr>
            <w:r>
              <w:rPr>
                <w:rFonts w:ascii="Times New Roman" w:cs="Times New Roman" w:eastAsia="Times New Roman" w:hAnsi="Times New Roman"/>
                <w:sz w:val="11"/>
                <w:szCs w:val="11"/>
                <w:color w:val="0000FF"/>
              </w:rPr>
              <w:t>2,527,646</w:t>
            </w:r>
          </w:p>
        </w:tc>
        <w:tc>
          <w:tcPr>
            <w:tcW w:w="74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vMerge w:val="restart"/>
          </w:tcPr>
          <w:p>
            <w:pPr>
              <w:ind w:left="60"/>
              <w:spacing w:after="0" w:line="98"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gridSpan w:val="2"/>
            <w:vMerge w:val="continue"/>
          </w:tcPr>
          <w:p>
            <w:pPr>
              <w:spacing w:after="0"/>
              <w:rPr>
                <w:sz w:val="4"/>
                <w:szCs w:val="4"/>
                <w:color w:val="auto"/>
              </w:rPr>
            </w:pPr>
          </w:p>
        </w:tc>
        <w:tc>
          <w:tcPr>
            <w:tcW w:w="740" w:type="dxa"/>
            <w:vAlign w:val="bottom"/>
            <w:gridSpan w:val="2"/>
            <w:vMerge w:val="restart"/>
          </w:tcPr>
          <w:p>
            <w:pPr>
              <w:jc w:val="right"/>
              <w:ind w:right="184"/>
              <w:spacing w:after="0" w:line="98"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460" w:type="dxa"/>
            <w:vAlign w:val="bottom"/>
            <w:vMerge w:val="restart"/>
          </w:tcPr>
          <w:p>
            <w:pPr>
              <w:jc w:val="right"/>
              <w:spacing w:after="0" w:line="98" w:lineRule="exact"/>
              <w:rPr>
                <w:sz w:val="20"/>
                <w:szCs w:val="20"/>
                <w:color w:val="auto"/>
              </w:rPr>
            </w:pPr>
            <w:r>
              <w:rPr>
                <w:rFonts w:ascii="Times New Roman" w:cs="Times New Roman" w:eastAsia="Times New Roman" w:hAnsi="Times New Roman"/>
                <w:sz w:val="11"/>
                <w:szCs w:val="11"/>
                <w:color w:val="0000FF"/>
              </w:rPr>
              <w:t>0</w:t>
            </w:r>
          </w:p>
        </w:tc>
        <w:tc>
          <w:tcPr>
            <w:tcW w:w="360" w:type="dxa"/>
            <w:vAlign w:val="bottom"/>
          </w:tcPr>
          <w:p>
            <w:pPr>
              <w:spacing w:after="0"/>
              <w:rPr>
                <w:sz w:val="4"/>
                <w:szCs w:val="4"/>
                <w:color w:val="auto"/>
              </w:rPr>
            </w:pPr>
          </w:p>
        </w:tc>
        <w:tc>
          <w:tcPr>
            <w:tcW w:w="580" w:type="dxa"/>
            <w:vAlign w:val="bottom"/>
            <w:vMerge w:val="restart"/>
          </w:tcPr>
          <w:p>
            <w:pPr>
              <w:ind w:left="320"/>
              <w:spacing w:after="0" w:line="98"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4"/>
                <w:szCs w:val="4"/>
                <w:color w:val="auto"/>
              </w:rPr>
            </w:pPr>
          </w:p>
        </w:tc>
        <w:tc>
          <w:tcPr>
            <w:tcW w:w="7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680" w:type="dxa"/>
            <w:vAlign w:val="bottom"/>
            <w:gridSpan w:val="4"/>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right w:val="single" w:sz="8" w:color="2C2C2C"/>
            </w:tcBorders>
            <w:gridSpan w:val="3"/>
          </w:tcPr>
          <w:p>
            <w:pPr>
              <w:ind w:left="60"/>
              <w:spacing w:after="0" w:line="52"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8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8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0000FF"/>
              </w:rPr>
              <w:t>Class B</w:t>
            </w:r>
          </w:p>
        </w:tc>
        <w:tc>
          <w:tcPr>
            <w:tcW w:w="6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color w:val="008000"/>
              </w:rPr>
              <w:t>(3)</w:t>
            </w: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9"/>
              </w:rPr>
              <w:t>2,527,646</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6"/>
        </w:trPr>
        <w:tc>
          <w:tcPr>
            <w:tcW w:w="680" w:type="dxa"/>
            <w:vAlign w:val="bottom"/>
            <w:gridSpan w:val="4"/>
            <w:vMerge w:val="restart"/>
          </w:tcPr>
          <w:p>
            <w:pPr>
              <w:ind w:left="80"/>
              <w:spacing w:after="0" w:line="98" w:lineRule="exact"/>
              <w:rPr>
                <w:sz w:val="20"/>
                <w:szCs w:val="20"/>
                <w:color w:val="auto"/>
              </w:rPr>
            </w:pPr>
            <w:r>
              <w:rPr>
                <w:rFonts w:ascii="Times New Roman" w:cs="Times New Roman" w:eastAsia="Times New Roman" w:hAnsi="Times New Roman"/>
                <w:sz w:val="11"/>
                <w:szCs w:val="11"/>
                <w:color w:val="0000FF"/>
              </w:rPr>
              <w:t>Common</w:t>
            </w:r>
          </w:p>
        </w:tc>
        <w:tc>
          <w:tcPr>
            <w:tcW w:w="640" w:type="dxa"/>
            <w:vAlign w:val="bottom"/>
            <w:gridSpan w:val="2"/>
            <w:vMerge w:val="continue"/>
          </w:tcPr>
          <w:p>
            <w:pPr>
              <w:spacing w:after="0"/>
              <w:rPr>
                <w:sz w:val="4"/>
                <w:szCs w:val="4"/>
                <w:color w:val="auto"/>
              </w:rPr>
            </w:pPr>
          </w:p>
        </w:tc>
        <w:tc>
          <w:tcPr>
            <w:tcW w:w="1120" w:type="dxa"/>
            <w:vAlign w:val="bottom"/>
            <w:vMerge w:val="restart"/>
          </w:tcPr>
          <w:p>
            <w:pPr>
              <w:ind w:left="300"/>
              <w:spacing w:after="0" w:line="98" w:lineRule="exact"/>
              <w:rPr>
                <w:sz w:val="20"/>
                <w:szCs w:val="20"/>
                <w:color w:val="auto"/>
              </w:rPr>
            </w:pPr>
            <w:r>
              <w:rPr>
                <w:rFonts w:ascii="Times New Roman" w:cs="Times New Roman" w:eastAsia="Times New Roman" w:hAnsi="Times New Roman"/>
                <w:sz w:val="11"/>
                <w:szCs w:val="11"/>
                <w:color w:val="0000FF"/>
              </w:rPr>
              <w:t>05/15/2026</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gridSpan w:val="5"/>
            <w:vMerge w:val="restart"/>
          </w:tcPr>
          <w:p>
            <w:pPr>
              <w:ind w:left="160"/>
              <w:spacing w:after="0" w:line="98" w:lineRule="exact"/>
              <w:rPr>
                <w:sz w:val="20"/>
                <w:szCs w:val="20"/>
                <w:color w:val="auto"/>
              </w:rPr>
            </w:pPr>
            <w:r>
              <w:rPr>
                <w:rFonts w:ascii="Times New Roman" w:cs="Times New Roman" w:eastAsia="Times New Roman" w:hAnsi="Times New Roman"/>
                <w:sz w:val="11"/>
                <w:szCs w:val="11"/>
                <w:color w:val="0000FF"/>
              </w:rPr>
              <w:t>C</w:t>
            </w:r>
          </w:p>
        </w:tc>
        <w:tc>
          <w:tcPr>
            <w:tcW w:w="1200" w:type="dxa"/>
            <w:vAlign w:val="bottom"/>
            <w:gridSpan w:val="5"/>
            <w:vMerge w:val="restart"/>
          </w:tcPr>
          <w:p>
            <w:pPr>
              <w:ind w:left="60"/>
              <w:spacing w:after="0" w:line="98" w:lineRule="exact"/>
              <w:rPr>
                <w:sz w:val="20"/>
                <w:szCs w:val="20"/>
                <w:color w:val="auto"/>
              </w:rPr>
            </w:pPr>
            <w:r>
              <w:rPr>
                <w:rFonts w:ascii="Times New Roman" w:cs="Times New Roman" w:eastAsia="Times New Roman" w:hAnsi="Times New Roman"/>
                <w:sz w:val="11"/>
                <w:szCs w:val="11"/>
                <w:color w:val="0000FF"/>
              </w:rPr>
              <w:t>2,527,646</w:t>
            </w:r>
          </w:p>
        </w:tc>
        <w:tc>
          <w:tcPr>
            <w:tcW w:w="74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vMerge w:val="restart"/>
          </w:tcPr>
          <w:p>
            <w:pPr>
              <w:ind w:left="60"/>
              <w:spacing w:after="0" w:line="98" w:lineRule="exact"/>
              <w:rPr>
                <w:sz w:val="20"/>
                <w:szCs w:val="20"/>
                <w:color w:val="auto"/>
              </w:rPr>
            </w:pPr>
            <w:r>
              <w:rPr>
                <w:rFonts w:ascii="Times New Roman" w:cs="Times New Roman" w:eastAsia="Times New Roman" w:hAnsi="Times New Roman"/>
                <w:sz w:val="11"/>
                <w:szCs w:val="11"/>
                <w:color w:val="0000FF"/>
              </w:rPr>
              <w:t>Common</w:t>
            </w:r>
          </w:p>
        </w:tc>
        <w:tc>
          <w:tcPr>
            <w:tcW w:w="720" w:type="dxa"/>
            <w:vAlign w:val="bottom"/>
            <w:gridSpan w:val="2"/>
            <w:vMerge w:val="continue"/>
          </w:tcPr>
          <w:p>
            <w:pPr>
              <w:spacing w:after="0"/>
              <w:rPr>
                <w:sz w:val="4"/>
                <w:szCs w:val="4"/>
                <w:color w:val="auto"/>
              </w:rPr>
            </w:pPr>
          </w:p>
        </w:tc>
        <w:tc>
          <w:tcPr>
            <w:tcW w:w="740" w:type="dxa"/>
            <w:vAlign w:val="bottom"/>
            <w:gridSpan w:val="2"/>
            <w:vMerge w:val="restart"/>
          </w:tcPr>
          <w:p>
            <w:pPr>
              <w:jc w:val="right"/>
              <w:ind w:right="184"/>
              <w:spacing w:after="0" w:line="98"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820" w:type="dxa"/>
            <w:vAlign w:val="bottom"/>
            <w:gridSpan w:val="2"/>
            <w:vMerge w:val="restart"/>
          </w:tcPr>
          <w:p>
            <w:pPr>
              <w:jc w:val="right"/>
              <w:ind w:right="145"/>
              <w:spacing w:after="0" w:line="98" w:lineRule="exact"/>
              <w:rPr>
                <w:sz w:val="20"/>
                <w:szCs w:val="20"/>
                <w:color w:val="auto"/>
              </w:rPr>
            </w:pPr>
            <w:r>
              <w:rPr>
                <w:rFonts w:ascii="Times New Roman" w:cs="Times New Roman" w:eastAsia="Times New Roman" w:hAnsi="Times New Roman"/>
                <w:sz w:val="11"/>
                <w:szCs w:val="11"/>
                <w:color w:val="0000FF"/>
              </w:rPr>
              <w:t>2,527,646</w:t>
            </w:r>
          </w:p>
        </w:tc>
        <w:tc>
          <w:tcPr>
            <w:tcW w:w="580" w:type="dxa"/>
            <w:vAlign w:val="bottom"/>
            <w:vMerge w:val="restart"/>
          </w:tcPr>
          <w:p>
            <w:pPr>
              <w:ind w:left="320"/>
              <w:spacing w:after="0" w:line="98" w:lineRule="exact"/>
              <w:rPr>
                <w:sz w:val="20"/>
                <w:szCs w:val="20"/>
                <w:color w:val="auto"/>
              </w:rPr>
            </w:pPr>
            <w:r>
              <w:rPr>
                <w:rFonts w:ascii="Times New Roman" w:cs="Times New Roman" w:eastAsia="Times New Roman" w:hAnsi="Times New Roman"/>
                <w:sz w:val="11"/>
                <w:szCs w:val="11"/>
                <w:color w:val="0000FF"/>
              </w:rPr>
              <w:t>I</w:t>
            </w:r>
          </w:p>
        </w:tc>
        <w:tc>
          <w:tcPr>
            <w:tcW w:w="120" w:type="dxa"/>
            <w:vAlign w:val="bottom"/>
          </w:tcPr>
          <w:p>
            <w:pPr>
              <w:spacing w:after="0"/>
              <w:rPr>
                <w:sz w:val="4"/>
                <w:szCs w:val="4"/>
                <w:color w:val="auto"/>
              </w:rPr>
            </w:pPr>
          </w:p>
        </w:tc>
        <w:tc>
          <w:tcPr>
            <w:tcW w:w="7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680" w:type="dxa"/>
            <w:vAlign w:val="bottom"/>
            <w:gridSpan w:val="4"/>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gridSpan w:val="5"/>
            <w:vMerge w:val="continue"/>
          </w:tcPr>
          <w:p>
            <w:pPr>
              <w:spacing w:after="0"/>
              <w:rPr>
                <w:sz w:val="4"/>
                <w:szCs w:val="4"/>
                <w:color w:val="auto"/>
              </w:rPr>
            </w:pPr>
          </w:p>
        </w:tc>
        <w:tc>
          <w:tcPr>
            <w:tcW w:w="1200" w:type="dxa"/>
            <w:vAlign w:val="bottom"/>
            <w:gridSpan w:val="5"/>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right w:val="single" w:sz="8" w:color="2C2C2C"/>
            </w:tcBorders>
            <w:gridSpan w:val="3"/>
          </w:tcPr>
          <w:p>
            <w:pPr>
              <w:ind w:left="60"/>
              <w:spacing w:after="0" w:line="52"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5"/>
                <w:szCs w:val="5"/>
                <w:color w:val="008000"/>
                <w:vertAlign w:val="superscript"/>
              </w:rPr>
              <w:t>(2)</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80" w:type="dxa"/>
            <w:vAlign w:val="bottom"/>
            <w:gridSpan w:val="4"/>
          </w:tcPr>
          <w:p>
            <w:pPr>
              <w:ind w:left="80"/>
              <w:spacing w:after="0"/>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440" w:type="dxa"/>
            <w:vAlign w:val="bottom"/>
            <w:tcBorders>
              <w:top w:val="single" w:sz="8" w:color="2C2C2C"/>
            </w:tcBorders>
            <w:gridSpan w:val="7"/>
          </w:tcPr>
          <w:p>
            <w:pPr>
              <w:ind w:left="80"/>
              <w:spacing w:after="0" w:line="214"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6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gridSpan w:val="15"/>
          </w:tcPr>
          <w:p>
            <w:pPr>
              <w:spacing w:after="0" w:line="207"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Benchmark AI Infrastructure Management Co.,</w:t>
              </w:r>
            </w:hyperlink>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0000EE"/>
            </w:tcBorders>
            <w:gridSpan w:val="2"/>
          </w:tcPr>
          <w:p>
            <w:pPr>
              <w:spacing w:after="0" w:line="19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L.L.C.</w:t>
              </w:r>
            </w:hyperlink>
          </w:p>
        </w:tc>
        <w:tc>
          <w:tcPr>
            <w:tcW w:w="3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ind w:left="200"/>
              <w:spacing w:after="0"/>
              <w:rPr>
                <w:sz w:val="20"/>
                <w:szCs w:val="20"/>
                <w:color w:val="auto"/>
              </w:rPr>
            </w:pPr>
            <w:r>
              <w:rPr>
                <w:rFonts w:ascii="Arial" w:cs="Arial" w:eastAsia="Arial" w:hAnsi="Arial"/>
                <w:sz w:val="12"/>
                <w:szCs w:val="12"/>
                <w:color w:val="auto"/>
              </w:rPr>
              <w:t>(First)</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w w:val="96"/>
              </w:rPr>
              <w:t>(Middle)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2965 WOODSIDE ROAD</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20" w:type="dxa"/>
            <w:vAlign w:val="bottom"/>
            <w:gridSpan w:val="2"/>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80" w:type="dxa"/>
            <w:vAlign w:val="bottom"/>
            <w:gridSpan w:val="4"/>
          </w:tcPr>
          <w:p>
            <w:pPr>
              <w:ind w:left="80"/>
              <w:spacing w:after="0"/>
              <w:rPr>
                <w:sz w:val="20"/>
                <w:szCs w:val="20"/>
                <w:color w:val="auto"/>
              </w:rPr>
            </w:pPr>
            <w:r>
              <w:rPr>
                <w:rFonts w:ascii="Arial" w:cs="Arial" w:eastAsia="Arial" w:hAnsi="Arial"/>
                <w:sz w:val="12"/>
                <w:szCs w:val="12"/>
                <w:color w:val="auto"/>
              </w:rPr>
              <w:t>(Street)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WOODSIDE</w:t>
            </w:r>
          </w:p>
        </w:tc>
        <w:tc>
          <w:tcPr>
            <w:tcW w:w="11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94062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ind w:left="200"/>
              <w:spacing w:after="0"/>
              <w:rPr>
                <w:sz w:val="20"/>
                <w:szCs w:val="20"/>
                <w:color w:val="auto"/>
              </w:rPr>
            </w:pPr>
            <w:r>
              <w:rPr>
                <w:rFonts w:ascii="Arial" w:cs="Arial" w:eastAsia="Arial" w:hAnsi="Arial"/>
                <w:sz w:val="12"/>
                <w:szCs w:val="12"/>
                <w:color w:val="auto"/>
              </w:rPr>
              <w:t>(State)</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(Zip)</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gridSpan w:val="2"/>
          </w:tcPr>
          <w:p>
            <w:pPr>
              <w:spacing w:after="0"/>
              <w:rPr>
                <w:sz w:val="6"/>
                <w:szCs w:val="6"/>
                <w:color w:val="auto"/>
              </w:rPr>
            </w:pPr>
          </w:p>
        </w:tc>
        <w:tc>
          <w:tcPr>
            <w:tcW w:w="1440" w:type="dxa"/>
            <w:vAlign w:val="bottom"/>
            <w:tcBorders>
              <w:bottom w:val="single" w:sz="8" w:color="2C2C2C"/>
            </w:tcBorders>
            <w:gridSpan w:val="2"/>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440" w:type="dxa"/>
            <w:vAlign w:val="bottom"/>
            <w:gridSpan w:val="7"/>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7"/>
          </w:tcPr>
          <w:p>
            <w:pPr>
              <w:spacing w:after="0" w:line="207" w:lineRule="exact"/>
              <w:rPr>
                <w:rFonts w:ascii="Times New Roman" w:cs="Times New Roman" w:eastAsia="Times New Roman" w:hAnsi="Times New Roman"/>
                <w:sz w:val="19"/>
                <w:szCs w:val="19"/>
                <w:color w:val="0000EE"/>
              </w:rPr>
            </w:pPr>
            <w:hyperlink r:id="rId15">
              <w:r>
                <w:rPr>
                  <w:rFonts w:ascii="Times New Roman" w:cs="Times New Roman" w:eastAsia="Times New Roman" w:hAnsi="Times New Roman"/>
                  <w:sz w:val="19"/>
                  <w:szCs w:val="19"/>
                  <w:color w:val="0000EE"/>
                </w:rPr>
                <w:t>Benchmark AI Infrastructure Fund, L.P.</w:t>
              </w:r>
            </w:hyperlink>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ind w:left="200"/>
              <w:spacing w:after="0"/>
              <w:rPr>
                <w:sz w:val="20"/>
                <w:szCs w:val="20"/>
                <w:color w:val="auto"/>
              </w:rPr>
            </w:pPr>
            <w:r>
              <w:rPr>
                <w:rFonts w:ascii="Arial" w:cs="Arial" w:eastAsia="Arial" w:hAnsi="Arial"/>
                <w:sz w:val="12"/>
                <w:szCs w:val="12"/>
                <w:color w:val="auto"/>
              </w:rPr>
              <w:t>(First)</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w w:val="96"/>
              </w:rPr>
              <w:t>(Middle)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2965 WOODSIDE ROAD</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20" w:type="dxa"/>
            <w:vAlign w:val="bottom"/>
            <w:gridSpan w:val="2"/>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80" w:type="dxa"/>
            <w:vAlign w:val="bottom"/>
            <w:gridSpan w:val="4"/>
          </w:tcPr>
          <w:p>
            <w:pPr>
              <w:ind w:left="80"/>
              <w:spacing w:after="0"/>
              <w:rPr>
                <w:sz w:val="20"/>
                <w:szCs w:val="20"/>
                <w:color w:val="auto"/>
              </w:rPr>
            </w:pPr>
            <w:r>
              <w:rPr>
                <w:rFonts w:ascii="Arial" w:cs="Arial" w:eastAsia="Arial" w:hAnsi="Arial"/>
                <w:sz w:val="12"/>
                <w:szCs w:val="12"/>
                <w:color w:val="auto"/>
              </w:rPr>
              <w:t>(Street)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WOODSIDE</w:t>
            </w:r>
          </w:p>
        </w:tc>
        <w:tc>
          <w:tcPr>
            <w:tcW w:w="11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94062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ind w:left="200"/>
              <w:spacing w:after="0"/>
              <w:rPr>
                <w:sz w:val="20"/>
                <w:szCs w:val="20"/>
                <w:color w:val="auto"/>
              </w:rPr>
            </w:pPr>
            <w:r>
              <w:rPr>
                <w:rFonts w:ascii="Arial" w:cs="Arial" w:eastAsia="Arial" w:hAnsi="Arial"/>
                <w:sz w:val="12"/>
                <w:szCs w:val="12"/>
                <w:color w:val="auto"/>
              </w:rPr>
              <w:t>(State)</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rPr>
              <w:t>(Zip)</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620" w:type="dxa"/>
            <w:vAlign w:val="bottom"/>
            <w:tcBorders>
              <w:bottom w:val="single" w:sz="8" w:color="2C2C2C"/>
            </w:tcBorders>
            <w:gridSpan w:val="3"/>
          </w:tcPr>
          <w:p>
            <w:pPr>
              <w:spacing w:after="0"/>
              <w:rPr>
                <w:sz w:val="6"/>
                <w:szCs w:val="6"/>
                <w:color w:val="auto"/>
              </w:rPr>
            </w:pPr>
          </w:p>
        </w:tc>
        <w:tc>
          <w:tcPr>
            <w:tcW w:w="380" w:type="dxa"/>
            <w:vAlign w:val="bottom"/>
            <w:tcBorders>
              <w:bottom w:val="single" w:sz="8" w:color="2C2C2C"/>
            </w:tcBorders>
            <w:gridSpan w:val="2"/>
          </w:tcPr>
          <w:p>
            <w:pPr>
              <w:spacing w:after="0"/>
              <w:rPr>
                <w:sz w:val="6"/>
                <w:szCs w:val="6"/>
                <w:color w:val="auto"/>
              </w:rPr>
            </w:pPr>
          </w:p>
        </w:tc>
        <w:tc>
          <w:tcPr>
            <w:tcW w:w="1440" w:type="dxa"/>
            <w:vAlign w:val="bottom"/>
            <w:tcBorders>
              <w:bottom w:val="single" w:sz="8" w:color="2C2C2C"/>
            </w:tcBorders>
            <w:gridSpan w:val="2"/>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440" w:type="dxa"/>
            <w:vAlign w:val="bottom"/>
            <w:gridSpan w:val="7"/>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10"/>
          </w:tcPr>
          <w:p>
            <w:pPr>
              <w:spacing w:after="0" w:line="207"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Benchmark AI Infrastructure Fund B, L.P.</w:t>
              </w:r>
            </w:hyperlink>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12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16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ind w:left="200"/>
              <w:spacing w:after="0"/>
              <w:rPr>
                <w:sz w:val="20"/>
                <w:szCs w:val="20"/>
                <w:color w:val="auto"/>
              </w:rPr>
            </w:pPr>
            <w:r>
              <w:rPr>
                <w:rFonts w:ascii="Arial" w:cs="Arial" w:eastAsia="Arial" w:hAnsi="Arial"/>
                <w:sz w:val="12"/>
                <w:szCs w:val="12"/>
                <w:color w:val="auto"/>
              </w:rPr>
              <w:t>(First)</w:t>
            </w:r>
          </w:p>
        </w:tc>
        <w:tc>
          <w:tcPr>
            <w:tcW w:w="920" w:type="dxa"/>
            <w:vAlign w:val="bottom"/>
            <w:gridSpan w:val="2"/>
          </w:tcPr>
          <w:p>
            <w:pPr>
              <w:ind w:left="480"/>
              <w:spacing w:after="0"/>
              <w:rPr>
                <w:sz w:val="20"/>
                <w:szCs w:val="20"/>
                <w:color w:val="auto"/>
              </w:rPr>
            </w:pPr>
            <w:r>
              <w:rPr>
                <w:rFonts w:ascii="Arial" w:cs="Arial" w:eastAsia="Arial" w:hAnsi="Arial"/>
                <w:sz w:val="12"/>
                <w:szCs w:val="12"/>
                <w:color w:val="auto"/>
                <w:w w:val="96"/>
              </w:rPr>
              <w:t>(Middle)</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2965 WOODSIDE ROAD</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20" w:type="dxa"/>
            <w:vAlign w:val="bottom"/>
            <w:gridSpan w:val="2"/>
          </w:tcPr>
          <w:p>
            <w:pPr>
              <w:spacing w:after="0"/>
              <w:rPr>
                <w:sz w:val="16"/>
                <w:szCs w:val="16"/>
                <w:color w:val="auto"/>
              </w:rPr>
            </w:pPr>
          </w:p>
        </w:tc>
        <w:tc>
          <w:tcPr>
            <w:tcW w:w="5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80" w:type="dxa"/>
            <w:vAlign w:val="bottom"/>
            <w:gridSpan w:val="4"/>
          </w:tcPr>
          <w:p>
            <w:pPr>
              <w:ind w:left="80"/>
              <w:spacing w:after="0"/>
              <w:rPr>
                <w:sz w:val="20"/>
                <w:szCs w:val="20"/>
                <w:color w:val="auto"/>
              </w:rPr>
            </w:pPr>
            <w:r>
              <w:rPr>
                <w:rFonts w:ascii="Arial" w:cs="Arial" w:eastAsia="Arial" w:hAnsi="Arial"/>
                <w:sz w:val="12"/>
                <w:szCs w:val="12"/>
                <w:color w:val="auto"/>
              </w:rPr>
              <w:t>(Street)</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WOODSIDE</w:t>
            </w:r>
          </w:p>
        </w:tc>
        <w:tc>
          <w:tcPr>
            <w:tcW w:w="112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0000FF"/>
              </w:rPr>
              <w:t>94062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-6085840</wp:posOffset>
            </wp:positionV>
            <wp:extent cx="27940" cy="176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7940" cy="1767205"/>
                    </a:xfrm>
                    <a:prstGeom prst="rect">
                      <a:avLst/>
                    </a:prstGeom>
                    <a:noFill/>
                  </pic:spPr>
                </pic:pic>
              </a:graphicData>
            </a:graphic>
          </wp:anchor>
        </w:drawing>
      </w:r>
    </w:p>
    <w:p>
      <w:pPr>
        <w:sectPr>
          <w:pgSz w:w="11900" w:h="16877" w:orient="portrait"/>
          <w:cols w:equalWidth="0" w:num="1">
            <w:col w:w="11080"/>
          </w:cols>
          <w:pgMar w:left="460" w:top="212" w:right="359" w:bottom="0" w:gutter="0" w:footer="0" w:header="0"/>
          <w:type w:val="continuous"/>
        </w:sectPr>
      </w:pPr>
    </w:p>
    <w:p>
      <w:pPr>
        <w:spacing w:after="0" w:line="279"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ectPr>
          <w:pgSz w:w="11900" w:h="16877" w:orient="portrait"/>
          <w:cols w:equalWidth="0" w:num="1">
            <w:col w:w="11080"/>
          </w:cols>
          <w:pgMar w:left="460" w:top="212" w:right="359" w:bottom="0" w:gutter="0" w:footer="0" w:header="0"/>
          <w:type w:val="continuous"/>
        </w:sectPr>
      </w:pPr>
    </w:p>
    <w:bookmarkStart w:id="1" w:name="page2"/>
    <w:bookmarkEnd w:id="1"/>
    <w:p>
      <w:pPr>
        <w:ind w:left="6"/>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277495</wp:posOffset>
            </wp:positionH>
            <wp:positionV relativeFrom="page">
              <wp:posOffset>88900</wp:posOffset>
            </wp:positionV>
            <wp:extent cx="2815590" cy="66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5590" cy="66675"/>
                    </a:xfrm>
                    <a:prstGeom prst="rect">
                      <a:avLst/>
                    </a:prstGeom>
                    <a:noFill/>
                  </pic:spPr>
                </pic:pic>
              </a:graphicData>
            </a:graphic>
          </wp:anchor>
        </w:drawing>
        <w:t>Explanation of Responses:</w:t>
      </w:r>
    </w:p>
    <w:p>
      <w:pPr>
        <w:spacing w:after="0" w:line="44" w:lineRule="exact"/>
        <w:rPr>
          <w:sz w:val="20"/>
          <w:szCs w:val="20"/>
          <w:color w:val="auto"/>
        </w:rPr>
      </w:pPr>
    </w:p>
    <w:p>
      <w:pPr>
        <w:ind w:left="126" w:hanging="126"/>
        <w:spacing w:after="0"/>
        <w:tabs>
          <w:tab w:leader="none" w:pos="12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Series H Preferred Stock automatically converted into one share of Class B Common Stock upon completion of the Issuer's initial public offering pursuant to its terms and has no expiration date.</w:t>
      </w:r>
    </w:p>
    <w:p>
      <w:pPr>
        <w:spacing w:after="0" w:line="44" w:lineRule="exact"/>
        <w:rPr>
          <w:rFonts w:ascii="Times New Roman" w:cs="Times New Roman" w:eastAsia="Times New Roman" w:hAnsi="Times New Roman"/>
          <w:sz w:val="12"/>
          <w:szCs w:val="12"/>
          <w:color w:val="008000"/>
        </w:rPr>
      </w:pPr>
    </w:p>
    <w:p>
      <w:pPr>
        <w:ind w:left="6" w:hanging="6"/>
        <w:spacing w:after="0" w:line="249"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by Benchmark AI Infrastructure Fund, L.P. ("AI Infrastructure"), as nominee for itself and Benchmark AI Infrastructure Fund B, L.P. ("AI Infrastructure B"). Benchmark AI Infrastructure Management Co., L.L.C. ("AI Infrastructure MC"), the general partner of each of AI Infrastructure and AI Infrastructure B, may be deemed to have sole voting and dispositive power over such shares. Each entity disclaims the existence of a "group" and disclaims beneficial ownership of the securities, except to the extent of such entity's pecuniary interest in such securities.</w:t>
      </w:r>
    </w:p>
    <w:p>
      <w:pPr>
        <w:spacing w:after="0" w:line="19" w:lineRule="exact"/>
        <w:rPr>
          <w:rFonts w:ascii="Times New Roman" w:cs="Times New Roman" w:eastAsia="Times New Roman" w:hAnsi="Times New Roman"/>
          <w:sz w:val="12"/>
          <w:szCs w:val="12"/>
          <w:color w:val="008000"/>
        </w:rPr>
      </w:pPr>
    </w:p>
    <w:p>
      <w:pPr>
        <w:ind w:left="6" w:right="40" w:hanging="6"/>
        <w:spacing w:after="0" w:line="249"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held by the Reporting Person will automatically convert into one share of Class A Common Stock upon the sale or transfer of such share of Class B Common Stock, subject to certain exceptions, and in certain other circumstances described in the Issuer's amended and restated certificate of incorporation. Each share of Class B Common Stock will also be convertible at any time at the option of the Reporting Person into one share of Class A Common Stock.</w:t>
      </w:r>
    </w:p>
    <w:p>
      <w:pPr>
        <w:spacing w:after="0" w:line="1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Remarks:</w:t>
      </w:r>
    </w:p>
    <w:p>
      <w:pPr>
        <w:spacing w:after="0" w:line="4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008000"/>
        </w:rPr>
        <w:t>This report is one of two reports, each on a separate Form 4, but relating to the same holdings being filed by entities affiliated with Benchmark.</w:t>
      </w:r>
    </w:p>
    <w:p>
      <w:pPr>
        <w:sectPr>
          <w:pgSz w:w="11900" w:h="16838" w:orient="portrait"/>
          <w:cols w:equalWidth="0" w:num="1">
            <w:col w:w="10906"/>
          </w:cols>
          <w:pgMar w:left="494" w:top="248" w:right="499" w:bottom="1440" w:gutter="0" w:footer="0" w:header="0"/>
        </w:sectPr>
      </w:pPr>
    </w:p>
    <w:p>
      <w:pPr>
        <w:spacing w:after="0" w:line="68" w:lineRule="exact"/>
        <w:rPr>
          <w:sz w:val="20"/>
          <w:szCs w:val="20"/>
          <w:color w:val="auto"/>
        </w:rPr>
      </w:pPr>
    </w:p>
    <w:p>
      <w:pPr>
        <w:ind w:left="6566"/>
        <w:spacing w:after="0"/>
        <w:rPr>
          <w:sz w:val="20"/>
          <w:szCs w:val="20"/>
          <w:color w:val="auto"/>
        </w:rPr>
      </w:pPr>
      <w:r>
        <w:rPr>
          <w:rFonts w:ascii="Times New Roman" w:cs="Times New Roman" w:eastAsia="Times New Roman" w:hAnsi="Times New Roman"/>
          <w:sz w:val="16"/>
          <w:szCs w:val="16"/>
          <w:color w:val="0000FF"/>
        </w:rPr>
        <w:t>/s/ An-Yen Hu,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-7620</wp:posOffset>
            </wp:positionV>
            <wp:extent cx="10363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36320" cy="7620"/>
                    </a:xfrm>
                    <a:prstGeom prst="rect">
                      <a:avLst/>
                    </a:prstGeom>
                    <a:noFill/>
                  </pic:spPr>
                </pic:pic>
              </a:graphicData>
            </a:graphic>
          </wp:anchor>
        </w:drawing>
      </w:r>
    </w:p>
    <w:p>
      <w:pPr>
        <w:spacing w:after="0" w:line="3" w:lineRule="exact"/>
        <w:rPr>
          <w:sz w:val="20"/>
          <w:szCs w:val="20"/>
          <w:color w:val="auto"/>
        </w:rPr>
      </w:pPr>
    </w:p>
    <w:p>
      <w:pPr>
        <w:ind w:left="6566"/>
        <w:spacing w:after="0"/>
        <w:rPr>
          <w:sz w:val="20"/>
          <w:szCs w:val="20"/>
          <w:color w:val="auto"/>
        </w:rPr>
      </w:pPr>
      <w:r>
        <w:rPr>
          <w:rFonts w:ascii="Times New Roman" w:cs="Times New Roman" w:eastAsia="Times New Roman" w:hAnsi="Times New Roman"/>
          <w:sz w:val="16"/>
          <w:szCs w:val="16"/>
          <w:color w:val="0000FF"/>
        </w:rPr>
        <w:t>Member of Benchmark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-15875</wp:posOffset>
            </wp:positionV>
            <wp:extent cx="10655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065530" cy="7620"/>
                    </a:xfrm>
                    <a:prstGeom prst="rect">
                      <a:avLst/>
                    </a:prstGeom>
                    <a:noFill/>
                  </pic:spPr>
                </pic:pic>
              </a:graphicData>
            </a:graphic>
          </wp:anchor>
        </w:drawing>
      </w:r>
    </w:p>
    <w:p>
      <w:pPr>
        <w:ind w:left="6566"/>
        <w:spacing w:after="0"/>
        <w:rPr>
          <w:sz w:val="20"/>
          <w:szCs w:val="20"/>
          <w:color w:val="auto"/>
        </w:rPr>
      </w:pPr>
      <w:r>
        <w:rPr>
          <w:rFonts w:ascii="Times New Roman" w:cs="Times New Roman" w:eastAsia="Times New Roman" w:hAnsi="Times New Roman"/>
          <w:sz w:val="15"/>
          <w:szCs w:val="15"/>
          <w:color w:val="0000FF"/>
        </w:rPr>
        <w:t>Infrastructure Management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-8255</wp:posOffset>
            </wp:positionV>
            <wp:extent cx="128524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85240" cy="7620"/>
                    </a:xfrm>
                    <a:prstGeom prst="rect">
                      <a:avLst/>
                    </a:prstGeom>
                    <a:noFill/>
                  </pic:spPr>
                </pic:pic>
              </a:graphicData>
            </a:graphic>
          </wp:anchor>
        </w:drawing>
      </w:r>
    </w:p>
    <w:p>
      <w:pPr>
        <w:spacing w:after="0" w:line="2" w:lineRule="exact"/>
        <w:rPr>
          <w:sz w:val="20"/>
          <w:szCs w:val="20"/>
          <w:color w:val="auto"/>
        </w:rPr>
      </w:pPr>
    </w:p>
    <w:p>
      <w:pPr>
        <w:ind w:left="6566"/>
        <w:spacing w:after="0"/>
        <w:rPr>
          <w:sz w:val="20"/>
          <w:szCs w:val="20"/>
          <w:color w:val="auto"/>
        </w:rPr>
      </w:pPr>
      <w:r>
        <w:rPr>
          <w:rFonts w:ascii="Times New Roman" w:cs="Times New Roman" w:eastAsia="Times New Roman" w:hAnsi="Times New Roman"/>
          <w:sz w:val="16"/>
          <w:szCs w:val="16"/>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-15875</wp:posOffset>
            </wp:positionV>
            <wp:extent cx="2641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264160" cy="7620"/>
                    </a:xfrm>
                    <a:prstGeom prst="rect">
                      <a:avLst/>
                    </a:prstGeom>
                    <a:noFill/>
                  </pic:spPr>
                </pic:pic>
              </a:graphicData>
            </a:graphic>
          </wp:anchor>
        </w:drawing>
      </w:r>
    </w:p>
    <w:p>
      <w:pPr>
        <w:spacing w:after="0" w:line="26" w:lineRule="exact"/>
        <w:rPr>
          <w:sz w:val="20"/>
          <w:szCs w:val="20"/>
          <w:color w:val="auto"/>
        </w:rPr>
      </w:pPr>
    </w:p>
    <w:p>
      <w:pPr>
        <w:ind w:left="6566"/>
        <w:spacing w:after="0"/>
        <w:rPr>
          <w:sz w:val="20"/>
          <w:szCs w:val="20"/>
          <w:color w:val="auto"/>
        </w:rPr>
      </w:pPr>
      <w:r>
        <w:rPr>
          <w:rFonts w:ascii="Times New Roman" w:cs="Times New Roman" w:eastAsia="Times New Roman" w:hAnsi="Times New Roman"/>
          <w:sz w:val="16"/>
          <w:szCs w:val="16"/>
          <w:color w:val="0000FF"/>
        </w:rPr>
        <w:t>/s/ An-Yen Hu,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-7620</wp:posOffset>
            </wp:positionV>
            <wp:extent cx="10363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36320" cy="7620"/>
                    </a:xfrm>
                    <a:prstGeom prst="rect">
                      <a:avLst/>
                    </a:prstGeom>
                    <a:noFill/>
                  </pic:spPr>
                </pic:pic>
              </a:graphicData>
            </a:graphic>
          </wp:anchor>
        </w:drawing>
      </w:r>
    </w:p>
    <w:p>
      <w:pPr>
        <w:spacing w:after="0" w:line="3" w:lineRule="exact"/>
        <w:rPr>
          <w:sz w:val="20"/>
          <w:szCs w:val="20"/>
          <w:color w:val="auto"/>
        </w:rPr>
      </w:pPr>
    </w:p>
    <w:p>
      <w:pPr>
        <w:ind w:left="6566"/>
        <w:spacing w:after="0"/>
        <w:rPr>
          <w:sz w:val="20"/>
          <w:szCs w:val="20"/>
          <w:color w:val="auto"/>
        </w:rPr>
      </w:pPr>
      <w:r>
        <w:rPr>
          <w:rFonts w:ascii="Times New Roman" w:cs="Times New Roman" w:eastAsia="Times New Roman" w:hAnsi="Times New Roman"/>
          <w:sz w:val="16"/>
          <w:szCs w:val="16"/>
          <w:color w:val="0000FF"/>
        </w:rPr>
        <w:t>Member of Benchmark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-15875</wp:posOffset>
            </wp:positionV>
            <wp:extent cx="106553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65530" cy="7620"/>
                    </a:xfrm>
                    <a:prstGeom prst="rect">
                      <a:avLst/>
                    </a:prstGeom>
                    <a:noFill/>
                  </pic:spPr>
                </pic:pic>
              </a:graphicData>
            </a:graphic>
          </wp:anchor>
        </w:drawing>
      </w:r>
    </w:p>
    <w:p>
      <w:pPr>
        <w:ind w:left="6566"/>
        <w:spacing w:after="0"/>
        <w:rPr>
          <w:sz w:val="20"/>
          <w:szCs w:val="20"/>
          <w:color w:val="auto"/>
        </w:rPr>
      </w:pPr>
      <w:r>
        <w:rPr>
          <w:rFonts w:ascii="Times New Roman" w:cs="Times New Roman" w:eastAsia="Times New Roman" w:hAnsi="Times New Roman"/>
          <w:sz w:val="15"/>
          <w:szCs w:val="15"/>
          <w:color w:val="0000FF"/>
        </w:rPr>
        <w:t>Infrastructure Management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-8255</wp:posOffset>
            </wp:positionV>
            <wp:extent cx="12852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85240" cy="7620"/>
                    </a:xfrm>
                    <a:prstGeom prst="rect">
                      <a:avLst/>
                    </a:prstGeom>
                    <a:noFill/>
                  </pic:spPr>
                </pic:pic>
              </a:graphicData>
            </a:graphic>
          </wp:anchor>
        </w:drawing>
      </w:r>
    </w:p>
    <w:p>
      <w:pPr>
        <w:spacing w:after="0" w:line="2" w:lineRule="exact"/>
        <w:rPr>
          <w:sz w:val="20"/>
          <w:szCs w:val="20"/>
          <w:color w:val="auto"/>
        </w:rPr>
      </w:pPr>
    </w:p>
    <w:p>
      <w:pPr>
        <w:ind w:left="6566"/>
        <w:spacing w:after="0"/>
        <w:rPr>
          <w:sz w:val="20"/>
          <w:szCs w:val="20"/>
          <w:color w:val="auto"/>
        </w:rPr>
      </w:pPr>
      <w:r>
        <w:rPr>
          <w:rFonts w:ascii="Times New Roman" w:cs="Times New Roman" w:eastAsia="Times New Roman" w:hAnsi="Times New Roman"/>
          <w:sz w:val="16"/>
          <w:szCs w:val="16"/>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-15875</wp:posOffset>
            </wp:positionV>
            <wp:extent cx="120205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02055" cy="7620"/>
                    </a:xfrm>
                    <a:prstGeom prst="rect">
                      <a:avLst/>
                    </a:prstGeom>
                    <a:noFill/>
                  </pic:spPr>
                </pic:pic>
              </a:graphicData>
            </a:graphic>
          </wp:anchor>
        </w:drawing>
      </w:r>
    </w:p>
    <w:p>
      <w:pPr>
        <w:ind w:left="6566"/>
        <w:spacing w:after="0"/>
        <w:rPr>
          <w:sz w:val="20"/>
          <w:szCs w:val="20"/>
          <w:color w:val="auto"/>
        </w:rPr>
      </w:pPr>
      <w:r>
        <w:rPr>
          <w:rFonts w:ascii="Times New Roman" w:cs="Times New Roman" w:eastAsia="Times New Roman" w:hAnsi="Times New Roman"/>
          <w:sz w:val="16"/>
          <w:szCs w:val="16"/>
          <w:color w:val="0000FF"/>
        </w:rPr>
        <w:t>Benchmark AI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-15875</wp:posOffset>
            </wp:positionV>
            <wp:extent cx="116268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162685" cy="7620"/>
                    </a:xfrm>
                    <a:prstGeom prst="rect">
                      <a:avLst/>
                    </a:prstGeom>
                    <a:noFill/>
                  </pic:spPr>
                </pic:pic>
              </a:graphicData>
            </a:graphic>
          </wp:anchor>
        </w:drawing>
      </w:r>
    </w:p>
    <w:p>
      <w:pPr>
        <w:ind w:left="6566"/>
        <w:spacing w:after="0"/>
        <w:rPr>
          <w:sz w:val="20"/>
          <w:szCs w:val="20"/>
          <w:color w:val="auto"/>
        </w:rPr>
      </w:pPr>
      <w:r>
        <w:rPr>
          <w:rFonts w:ascii="Times New Roman" w:cs="Times New Roman" w:eastAsia="Times New Roman" w:hAnsi="Times New Roman"/>
          <w:sz w:val="16"/>
          <w:szCs w:val="16"/>
          <w:color w:val="0000FF"/>
        </w:rPr>
        <w:t>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-15875</wp:posOffset>
            </wp:positionV>
            <wp:extent cx="41211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12115" cy="7620"/>
                    </a:xfrm>
                    <a:prstGeom prst="rect">
                      <a:avLst/>
                    </a:prstGeom>
                    <a:noFill/>
                  </pic:spPr>
                </pic:pic>
              </a:graphicData>
            </a:graphic>
          </wp:anchor>
        </w:drawing>
      </w:r>
    </w:p>
    <w:p>
      <w:pPr>
        <w:spacing w:after="0" w:line="26" w:lineRule="exact"/>
        <w:rPr>
          <w:sz w:val="20"/>
          <w:szCs w:val="20"/>
          <w:color w:val="auto"/>
        </w:rPr>
      </w:pPr>
    </w:p>
    <w:p>
      <w:pPr>
        <w:ind w:left="6566"/>
        <w:spacing w:after="0"/>
        <w:rPr>
          <w:sz w:val="20"/>
          <w:szCs w:val="20"/>
          <w:color w:val="auto"/>
        </w:rPr>
      </w:pPr>
      <w:r>
        <w:rPr>
          <w:rFonts w:ascii="Times New Roman" w:cs="Times New Roman" w:eastAsia="Times New Roman" w:hAnsi="Times New Roman"/>
          <w:sz w:val="16"/>
          <w:szCs w:val="16"/>
          <w:color w:val="0000FF"/>
        </w:rPr>
        <w:t>/s/ An-Yen Hu,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-7620</wp:posOffset>
            </wp:positionV>
            <wp:extent cx="10363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036320" cy="7620"/>
                    </a:xfrm>
                    <a:prstGeom prst="rect">
                      <a:avLst/>
                    </a:prstGeom>
                    <a:noFill/>
                  </pic:spPr>
                </pic:pic>
              </a:graphicData>
            </a:graphic>
          </wp:anchor>
        </w:drawing>
      </w:r>
    </w:p>
    <w:p>
      <w:pPr>
        <w:spacing w:after="0" w:line="3" w:lineRule="exact"/>
        <w:rPr>
          <w:sz w:val="20"/>
          <w:szCs w:val="20"/>
          <w:color w:val="auto"/>
        </w:rPr>
      </w:pPr>
    </w:p>
    <w:p>
      <w:pPr>
        <w:ind w:left="6566"/>
        <w:spacing w:after="0"/>
        <w:rPr>
          <w:sz w:val="20"/>
          <w:szCs w:val="20"/>
          <w:color w:val="auto"/>
        </w:rPr>
      </w:pPr>
      <w:r>
        <w:rPr>
          <w:rFonts w:ascii="Times New Roman" w:cs="Times New Roman" w:eastAsia="Times New Roman" w:hAnsi="Times New Roman"/>
          <w:sz w:val="16"/>
          <w:szCs w:val="16"/>
          <w:color w:val="0000FF"/>
        </w:rPr>
        <w:t>Member of Benchmark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-15875</wp:posOffset>
            </wp:positionV>
            <wp:extent cx="106553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065530" cy="7620"/>
                    </a:xfrm>
                    <a:prstGeom prst="rect">
                      <a:avLst/>
                    </a:prstGeom>
                    <a:noFill/>
                  </pic:spPr>
                </pic:pic>
              </a:graphicData>
            </a:graphic>
          </wp:anchor>
        </w:drawing>
      </w:r>
    </w:p>
    <w:p>
      <w:pPr>
        <w:ind w:left="6566"/>
        <w:spacing w:after="0"/>
        <w:rPr>
          <w:sz w:val="20"/>
          <w:szCs w:val="20"/>
          <w:color w:val="auto"/>
        </w:rPr>
      </w:pPr>
      <w:r>
        <w:rPr>
          <w:rFonts w:ascii="Times New Roman" w:cs="Times New Roman" w:eastAsia="Times New Roman" w:hAnsi="Times New Roman"/>
          <w:sz w:val="15"/>
          <w:szCs w:val="15"/>
          <w:color w:val="0000FF"/>
        </w:rPr>
        <w:t>Infrastructure Management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-8255</wp:posOffset>
            </wp:positionV>
            <wp:extent cx="128524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285240" cy="7620"/>
                    </a:xfrm>
                    <a:prstGeom prst="rect">
                      <a:avLst/>
                    </a:prstGeom>
                    <a:noFill/>
                  </pic:spPr>
                </pic:pic>
              </a:graphicData>
            </a:graphic>
          </wp:anchor>
        </w:drawing>
      </w:r>
    </w:p>
    <w:p>
      <w:pPr>
        <w:spacing w:after="0" w:line="2" w:lineRule="exact"/>
        <w:rPr>
          <w:sz w:val="20"/>
          <w:szCs w:val="20"/>
          <w:color w:val="auto"/>
        </w:rPr>
      </w:pPr>
    </w:p>
    <w:p>
      <w:pPr>
        <w:ind w:left="6566"/>
        <w:spacing w:after="0"/>
        <w:rPr>
          <w:sz w:val="20"/>
          <w:szCs w:val="20"/>
          <w:color w:val="auto"/>
        </w:rPr>
      </w:pPr>
      <w:r>
        <w:rPr>
          <w:rFonts w:ascii="Times New Roman" w:cs="Times New Roman" w:eastAsia="Times New Roman" w:hAnsi="Times New Roman"/>
          <w:sz w:val="16"/>
          <w:szCs w:val="16"/>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-15875</wp:posOffset>
            </wp:positionV>
            <wp:extent cx="120205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202055" cy="7620"/>
                    </a:xfrm>
                    <a:prstGeom prst="rect">
                      <a:avLst/>
                    </a:prstGeom>
                    <a:noFill/>
                  </pic:spPr>
                </pic:pic>
              </a:graphicData>
            </a:graphic>
          </wp:anchor>
        </w:drawing>
      </w:r>
    </w:p>
    <w:p>
      <w:pPr>
        <w:ind w:left="6566"/>
        <w:spacing w:after="0"/>
        <w:rPr>
          <w:sz w:val="20"/>
          <w:szCs w:val="20"/>
          <w:color w:val="auto"/>
        </w:rPr>
      </w:pPr>
      <w:r>
        <w:rPr>
          <w:rFonts w:ascii="Times New Roman" w:cs="Times New Roman" w:eastAsia="Times New Roman" w:hAnsi="Times New Roman"/>
          <w:sz w:val="16"/>
          <w:szCs w:val="16"/>
          <w:color w:val="0000FF"/>
        </w:rPr>
        <w:t>Benchmark AI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-15875</wp:posOffset>
            </wp:positionV>
            <wp:extent cx="116268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1162685" cy="7620"/>
                    </a:xfrm>
                    <a:prstGeom prst="rect">
                      <a:avLst/>
                    </a:prstGeom>
                    <a:noFill/>
                  </pic:spPr>
                </pic:pic>
              </a:graphicData>
            </a:graphic>
          </wp:anchor>
        </w:drawing>
      </w:r>
    </w:p>
    <w:p>
      <w:pPr>
        <w:ind w:left="6566"/>
        <w:spacing w:after="0"/>
        <w:rPr>
          <w:sz w:val="20"/>
          <w:szCs w:val="20"/>
          <w:color w:val="auto"/>
        </w:rPr>
      </w:pPr>
      <w:r>
        <w:rPr>
          <w:rFonts w:ascii="Times New Roman" w:cs="Times New Roman" w:eastAsia="Times New Roman" w:hAnsi="Times New Roman"/>
          <w:sz w:val="16"/>
          <w:szCs w:val="16"/>
          <w:color w:val="0000FF"/>
        </w:rPr>
        <w:t>Fund 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4170045</wp:posOffset>
            </wp:positionH>
            <wp:positionV relativeFrom="paragraph">
              <wp:posOffset>-15875</wp:posOffset>
            </wp:positionV>
            <wp:extent cx="5041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4190" cy="7620"/>
                    </a:xfrm>
                    <a:prstGeom prst="rect">
                      <a:avLst/>
                    </a:prstGeom>
                    <a:noFill/>
                  </pic:spPr>
                </pic:pic>
              </a:graphicData>
            </a:graphic>
          </wp:anchor>
        </w:drawing>
      </w:r>
    </w:p>
    <w:p>
      <w:pPr>
        <w:spacing w:after="0" w:line="27" w:lineRule="exact"/>
        <w:rPr>
          <w:sz w:val="20"/>
          <w:szCs w:val="20"/>
          <w:color w:val="auto"/>
        </w:rPr>
      </w:pPr>
    </w:p>
    <w:p>
      <w:pPr>
        <w:ind w:left="6566"/>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45656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4565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45656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4565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45656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456565" cy="762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4" w:lineRule="exact"/>
        <w:rPr>
          <w:sz w:val="20"/>
          <w:szCs w:val="20"/>
          <w:color w:val="auto"/>
        </w:rPr>
      </w:pPr>
    </w:p>
    <w:p>
      <w:pPr>
        <w:sectPr>
          <w:pgSz w:w="11900" w:h="16838" w:orient="portrait"/>
          <w:cols w:equalWidth="0" w:num="2">
            <w:col w:w="8586" w:space="180"/>
            <w:col w:w="2140"/>
          </w:cols>
          <w:pgMar w:left="494" w:top="248" w:right="499" w:bottom="1440" w:gutter="0" w:footer="0" w:header="0"/>
          <w:type w:val="continuous"/>
        </w:sectPr>
      </w:pPr>
    </w:p>
    <w:p>
      <w:pPr>
        <w:ind w:left="6"/>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6"/>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6" w:right="3900" w:hanging="6"/>
        <w:spacing w:after="0" w:line="316"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6"/>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6"/>
      </w:cols>
      <w:pgMar w:left="494" w:top="248"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13" Type="http://schemas.openxmlformats.org/officeDocument/2006/relationships/hyperlink" Target="http://www.sec.gov/cgi-bin/browse-edgar?action=getcompany&amp;CIK=0002105288" TargetMode="External"/><Relationship Id="rId14" Type="http://schemas.openxmlformats.org/officeDocument/2006/relationships/hyperlink" Target="http://www.sec.gov/cgi-bin/browse-edgar?action=getcompany&amp;CIK=0002021728" TargetMode="External"/><Relationship Id="rId15" Type="http://schemas.openxmlformats.org/officeDocument/2006/relationships/hyperlink" Target="http://www.sec.gov/cgi-bin/browse-edgar?action=getcompany&amp;CIK=0002105287" TargetMode="External"/><Relationship Id="rId16" Type="http://schemas.openxmlformats.org/officeDocument/2006/relationships/hyperlink" Target="http://www.sec.gov/cgi-bin/browse-edgar?action=getcompany&amp;CIK=00021052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2026-05-19T16:31:33Z</dcterms:created>
  <dcterms:modified xsi:type="dcterms:W3CDTF">2026-05-19T16:31:33Z</dcterms:modified>
</cp:coreProperties>
</file>