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5" w:lineRule="exact"/>
        <w:rPr>
          <w:sz w:val="24"/>
          <w:szCs w:val="24"/>
          <w:color w:val="auto"/>
        </w:rPr>
      </w:pPr>
    </w:p>
    <w:p>
      <w:pPr>
        <w:ind w:left="320" w:right="8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-530860</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2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5111750</wp:posOffset>
            </wp:positionH>
            <wp:positionV relativeFrom="paragraph">
              <wp:posOffset>-576580</wp:posOffset>
            </wp:positionV>
            <wp:extent cx="55245" cy="589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991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-576580</wp:posOffset>
            </wp:positionV>
            <wp:extent cx="55245" cy="589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99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606425</wp:posOffset>
            </wp:positionV>
            <wp:extent cx="7004050" cy="649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6499860"/>
                    </a:xfrm>
                    <a:prstGeom prst="rect">
                      <a:avLst/>
                    </a:prstGeom>
                    <a:noFill/>
                  </pic:spPr>
                </pic:pic>
              </a:graphicData>
            </a:graphic>
          </wp:anchor>
        </w:drawing>
      </w:r>
    </w:p>
    <w:p>
      <w:pPr>
        <w:spacing w:after="0" w:line="969" w:lineRule="exact"/>
        <w:rPr>
          <w:sz w:val="24"/>
          <w:szCs w:val="24"/>
          <w:color w:val="auto"/>
        </w:rPr>
      </w:pPr>
    </w:p>
    <w:p>
      <w:pPr>
        <w:sectPr>
          <w:pgSz w:w="11900" w:h="16838" w:orient="portrait"/>
          <w:cols w:equalWidth="0" w:num="2">
            <w:col w:w="2320" w:space="500"/>
            <w:col w:w="8260"/>
          </w:cols>
          <w:pgMar w:left="460" w:top="209"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Susan Lior</w:t>
              </w:r>
            </w:hyperlink>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7"/>
          </w:tcPr>
          <w:p>
            <w:pPr>
              <w:spacing w:after="0" w:line="95"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Cerebras Systems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CBRS</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96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2"/>
                <w:szCs w:val="12"/>
                <w:color w:val="auto"/>
                <w:w w:val="99"/>
              </w:rPr>
              <w:t>Officer (give title</w:t>
            </w:r>
          </w:p>
        </w:tc>
        <w:tc>
          <w:tcPr>
            <w:tcW w:w="420" w:type="dxa"/>
            <w:vAlign w:val="bottom"/>
          </w:tcPr>
          <w:p>
            <w:pPr>
              <w:spacing w:after="0"/>
              <w:rPr>
                <w:sz w:val="7"/>
                <w:szCs w:val="7"/>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2"/>
                <w:szCs w:val="12"/>
                <w:color w:val="auto"/>
              </w:rPr>
              <w:t>below)</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CEREBRAS SYSTEMS INC.</w:t>
            </w:r>
          </w:p>
        </w:tc>
        <w:tc>
          <w:tcPr>
            <w:tcW w:w="940" w:type="dxa"/>
            <w:vAlign w:val="bottom"/>
          </w:tcPr>
          <w:p>
            <w:pPr>
              <w:spacing w:after="0"/>
              <w:rPr>
                <w:sz w:val="19"/>
                <w:szCs w:val="19"/>
                <w:color w:val="auto"/>
              </w:rPr>
            </w:pPr>
          </w:p>
        </w:tc>
        <w:tc>
          <w:tcPr>
            <w:tcW w:w="1960" w:type="dxa"/>
            <w:vAlign w:val="bottom"/>
            <w:gridSpan w:val="7"/>
          </w:tcPr>
          <w:p>
            <w:pPr>
              <w:ind w:left="580"/>
              <w:spacing w:after="0"/>
              <w:rPr>
                <w:sz w:val="20"/>
                <w:szCs w:val="20"/>
                <w:color w:val="auto"/>
              </w:rPr>
            </w:pPr>
            <w:r>
              <w:rPr>
                <w:rFonts w:ascii="Times New Roman" w:cs="Times New Roman" w:eastAsia="Times New Roman" w:hAnsi="Times New Roman"/>
                <w:sz w:val="15"/>
                <w:szCs w:val="15"/>
                <w:color w:val="0000FF"/>
              </w:rPr>
              <w:t>05/15/2026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1237 E. ARQUES AVENUE</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8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2"/>
                <w:szCs w:val="2"/>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gridSpan w:val="8"/>
            <w:vMerge w:val="continue"/>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5"/>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SUNNYVALE</w:t>
            </w: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CA</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94085</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208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8"/>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460" w:type="dxa"/>
            <w:vAlign w:val="bottom"/>
          </w:tcPr>
          <w:p>
            <w:pPr>
              <w:spacing w:after="0"/>
              <w:rPr>
                <w:sz w:val="13"/>
                <w:szCs w:val="13"/>
                <w:color w:val="auto"/>
              </w:rPr>
            </w:pPr>
          </w:p>
        </w:tc>
        <w:tc>
          <w:tcPr>
            <w:tcW w:w="20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4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9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gridSpan w:val="6"/>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 (Instr. 4)</w:t>
            </w:r>
          </w:p>
        </w:tc>
        <w:tc>
          <w:tcPr>
            <w:tcW w:w="1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gridSpan w:val="4"/>
            <w:vMerge w:val="restart"/>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60"/>
              <w:spacing w:after="0" w:line="119"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38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940" w:type="dxa"/>
            <w:vAlign w:val="bottom"/>
          </w:tcPr>
          <w:p>
            <w:pPr>
              <w:spacing w:after="0"/>
              <w:rPr>
                <w:sz w:val="19"/>
                <w:szCs w:val="19"/>
                <w:color w:val="auto"/>
              </w:rPr>
            </w:pP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5"/>
                <w:szCs w:val="15"/>
                <w:color w:val="0000FF"/>
              </w:rPr>
              <w:t>05/15/2026</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1,093,998</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0000FF"/>
              </w:rPr>
              <w:t>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See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380" w:type="dxa"/>
            <w:vAlign w:val="bottom"/>
            <w:gridSpan w:val="6"/>
            <w:vMerge w:val="continue"/>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(2)(3)</w:t>
            </w: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0" w:type="dxa"/>
            <w:vAlign w:val="bottom"/>
            <w:gridSpan w:val="18"/>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gridSpan w:val="14"/>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Derivative</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9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40" w:type="dxa"/>
            <w:vAlign w:val="bottom"/>
          </w:tcPr>
          <w:p>
            <w:pPr>
              <w:ind w:left="4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w w:val="97"/>
              </w:rPr>
              <w:t>Disposed of (D) (Instr.</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vMerge w:val="restart"/>
          </w:tcPr>
          <w:p>
            <w:pPr>
              <w:ind w:left="120"/>
              <w:spacing w:after="0" w:line="119"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6"/>
              </w:rPr>
              <w:t>Expiration</w:t>
            </w:r>
          </w:p>
        </w:tc>
        <w:tc>
          <w:tcPr>
            <w:tcW w:w="5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80" w:type="dxa"/>
            <w:vAlign w:val="bottom"/>
            <w:gridSpan w:val="2"/>
          </w:tcPr>
          <w:p>
            <w:pPr>
              <w:ind w:left="4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5"/>
              </w:rPr>
              <w:t>Class A</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1,093,998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1140" w:type="dxa"/>
            <w:vAlign w:val="bottom"/>
            <w:gridSpan w:val="2"/>
            <w:vMerge w:val="restart"/>
          </w:tcPr>
          <w:p>
            <w:pPr>
              <w:jc w:val="right"/>
              <w:ind w:right="563"/>
              <w:spacing w:after="0"/>
              <w:rPr>
                <w:sz w:val="20"/>
                <w:szCs w:val="20"/>
                <w:color w:val="auto"/>
              </w:rPr>
            </w:pPr>
            <w:r>
              <w:rPr>
                <w:rFonts w:ascii="Times New Roman" w:cs="Times New Roman" w:eastAsia="Times New Roman" w:hAnsi="Times New Roman"/>
                <w:sz w:val="12"/>
                <w:szCs w:val="12"/>
                <w:color w:val="0000FF"/>
              </w:rPr>
              <w:t>1,093,998</w:t>
            </w:r>
          </w:p>
        </w:tc>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1,093,998</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0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right w:val="single" w:sz="8" w:color="2C2C2C"/>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47"/>
        </w:trPr>
        <w:tc>
          <w:tcPr>
            <w:tcW w:w="6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4,419,405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80" w:type="dxa"/>
            <w:vAlign w:val="bottom"/>
            <w:gridSpan w:val="2"/>
            <w:vMerge w:val="restart"/>
          </w:tcPr>
          <w:p>
            <w:pPr>
              <w:jc w:val="center"/>
              <w:ind w:left="403"/>
              <w:spacing w:after="0"/>
              <w:rPr>
                <w:sz w:val="20"/>
                <w:szCs w:val="20"/>
                <w:color w:val="auto"/>
              </w:rPr>
            </w:pPr>
            <w:r>
              <w:rPr>
                <w:rFonts w:ascii="Times New Roman" w:cs="Times New Roman" w:eastAsia="Times New Roman" w:hAnsi="Times New Roman"/>
                <w:sz w:val="12"/>
                <w:szCs w:val="12"/>
                <w:color w:val="0000FF"/>
                <w:w w:val="99"/>
              </w:rPr>
              <w:t>4,419,405</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0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5"/>
                <w:szCs w:val="15"/>
                <w:color w:val="0000FF"/>
              </w:rPr>
              <w:t>599,465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60" w:type="dxa"/>
            <w:vAlign w:val="bottom"/>
            <w:vMerge w:val="restart"/>
          </w:tcPr>
          <w:p>
            <w:pPr>
              <w:jc w:val="center"/>
              <w:ind w:left="443"/>
              <w:spacing w:after="0"/>
              <w:rPr>
                <w:sz w:val="20"/>
                <w:szCs w:val="20"/>
                <w:color w:val="auto"/>
              </w:rPr>
            </w:pPr>
            <w:r>
              <w:rPr>
                <w:rFonts w:ascii="Times New Roman" w:cs="Times New Roman" w:eastAsia="Times New Roman" w:hAnsi="Times New Roman"/>
                <w:sz w:val="12"/>
                <w:szCs w:val="12"/>
                <w:color w:val="0000FF"/>
                <w:w w:val="97"/>
              </w:rPr>
              <w:t>599,465</w:t>
            </w:r>
          </w:p>
        </w:tc>
        <w:tc>
          <w:tcPr>
            <w:tcW w:w="20" w:type="dxa"/>
            <w:vAlign w:val="bottom"/>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0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5"/>
                <w:szCs w:val="15"/>
                <w:color w:val="0000FF"/>
              </w:rPr>
              <w:t>486,175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60" w:type="dxa"/>
            <w:vAlign w:val="bottom"/>
            <w:vMerge w:val="restart"/>
          </w:tcPr>
          <w:p>
            <w:pPr>
              <w:jc w:val="center"/>
              <w:ind w:left="443"/>
              <w:spacing w:after="0"/>
              <w:rPr>
                <w:sz w:val="20"/>
                <w:szCs w:val="20"/>
                <w:color w:val="auto"/>
              </w:rPr>
            </w:pPr>
            <w:r>
              <w:rPr>
                <w:rFonts w:ascii="Times New Roman" w:cs="Times New Roman" w:eastAsia="Times New Roman" w:hAnsi="Times New Roman"/>
                <w:sz w:val="12"/>
                <w:szCs w:val="12"/>
                <w:color w:val="0000FF"/>
                <w:w w:val="97"/>
              </w:rPr>
              <w:t>486,175</w:t>
            </w:r>
          </w:p>
        </w:tc>
        <w:tc>
          <w:tcPr>
            <w:tcW w:w="20" w:type="dxa"/>
            <w:vAlign w:val="bottom"/>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0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5"/>
                <w:szCs w:val="15"/>
                <w:color w:val="0000FF"/>
              </w:rPr>
              <w:t>309,678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60" w:type="dxa"/>
            <w:vAlign w:val="bottom"/>
            <w:vMerge w:val="restart"/>
          </w:tcPr>
          <w:p>
            <w:pPr>
              <w:jc w:val="center"/>
              <w:ind w:left="443"/>
              <w:spacing w:after="0"/>
              <w:rPr>
                <w:sz w:val="20"/>
                <w:szCs w:val="20"/>
                <w:color w:val="auto"/>
              </w:rPr>
            </w:pPr>
            <w:r>
              <w:rPr>
                <w:rFonts w:ascii="Times New Roman" w:cs="Times New Roman" w:eastAsia="Times New Roman" w:hAnsi="Times New Roman"/>
                <w:sz w:val="12"/>
                <w:szCs w:val="12"/>
                <w:color w:val="0000FF"/>
                <w:w w:val="97"/>
              </w:rPr>
              <w:t>309,678</w:t>
            </w:r>
          </w:p>
        </w:tc>
        <w:tc>
          <w:tcPr>
            <w:tcW w:w="20" w:type="dxa"/>
            <w:vAlign w:val="bottom"/>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6,548,466</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80" w:type="dxa"/>
            <w:vAlign w:val="bottom"/>
            <w:gridSpan w:val="2"/>
            <w:vMerge w:val="restart"/>
          </w:tcPr>
          <w:p>
            <w:pPr>
              <w:jc w:val="center"/>
              <w:ind w:left="403"/>
              <w:spacing w:after="0"/>
              <w:rPr>
                <w:sz w:val="20"/>
                <w:szCs w:val="20"/>
                <w:color w:val="auto"/>
              </w:rPr>
            </w:pPr>
            <w:r>
              <w:rPr>
                <w:rFonts w:ascii="Times New Roman" w:cs="Times New Roman" w:eastAsia="Times New Roman" w:hAnsi="Times New Roman"/>
                <w:sz w:val="12"/>
                <w:szCs w:val="12"/>
                <w:color w:val="0000FF"/>
                <w:w w:val="99"/>
              </w:rPr>
              <w:t>6,548,466</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7"/>
              </w:rPr>
              <w:t>Class B</w:t>
            </w:r>
          </w:p>
        </w:tc>
        <w:tc>
          <w:tcPr>
            <w:tcW w:w="70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5"/>
                <w:szCs w:val="15"/>
                <w:color w:val="0000FF"/>
              </w:rPr>
              <w:t>9,010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05/15/2026</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4"/>
                <w:szCs w:val="4"/>
                <w:color w:val="auto"/>
              </w:rPr>
            </w:pPr>
          </w:p>
        </w:tc>
        <w:tc>
          <w:tcPr>
            <w:tcW w:w="960" w:type="dxa"/>
            <w:vAlign w:val="bottom"/>
            <w:vMerge w:val="restart"/>
          </w:tcPr>
          <w:p>
            <w:pPr>
              <w:jc w:val="center"/>
              <w:ind w:left="443"/>
              <w:spacing w:after="0"/>
              <w:rPr>
                <w:sz w:val="20"/>
                <w:szCs w:val="20"/>
                <w:color w:val="auto"/>
              </w:rPr>
            </w:pPr>
            <w:r>
              <w:rPr>
                <w:rFonts w:ascii="Times New Roman" w:cs="Times New Roman" w:eastAsia="Times New Roman" w:hAnsi="Times New Roman"/>
                <w:sz w:val="12"/>
                <w:szCs w:val="12"/>
                <w:color w:val="0000FF"/>
                <w:w w:val="96"/>
              </w:rPr>
              <w:t>9,010</w:t>
            </w:r>
          </w:p>
        </w:tc>
        <w:tc>
          <w:tcPr>
            <w:tcW w:w="20" w:type="dxa"/>
            <w:vAlign w:val="bottom"/>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4"/>
                <w:szCs w:val="4"/>
                <w:color w:val="auto"/>
              </w:rPr>
            </w:pPr>
          </w:p>
        </w:tc>
        <w:tc>
          <w:tcPr>
            <w:tcW w:w="42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93"/>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jc w:val="center"/>
              <w:ind w:right="2"/>
              <w:spacing w:after="0" w:line="190"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(1)</w:t>
            </w: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5"/>
              </w:rPr>
              <w:t>Class A</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12,372,199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3"/>
        </w:trPr>
        <w:tc>
          <w:tcPr>
            <w:tcW w:w="640" w:type="dxa"/>
            <w:vAlign w:val="bottom"/>
            <w:gridSpan w:val="3"/>
            <w:vMerge w:val="restart"/>
          </w:tcPr>
          <w:p>
            <w:pPr>
              <w:ind w:left="60"/>
              <w:spacing w:after="0" w:line="94" w:lineRule="exact"/>
              <w:rPr>
                <w:sz w:val="20"/>
                <w:szCs w:val="20"/>
                <w:color w:val="auto"/>
              </w:rPr>
            </w:pPr>
            <w:r>
              <w:rPr>
                <w:rFonts w:ascii="Times New Roman" w:cs="Times New Roman" w:eastAsia="Times New Roman" w:hAnsi="Times New Roman"/>
                <w:sz w:val="9"/>
                <w:szCs w:val="9"/>
                <w:color w:val="0000FF"/>
              </w:rPr>
              <w:t>Common</w:t>
            </w:r>
          </w:p>
        </w:tc>
        <w:tc>
          <w:tcPr>
            <w:tcW w:w="660" w:type="dxa"/>
            <w:vAlign w:val="bottom"/>
            <w:gridSpan w:val="2"/>
            <w:vMerge w:val="continue"/>
          </w:tcPr>
          <w:p>
            <w:pPr>
              <w:spacing w:after="0"/>
              <w:rPr>
                <w:sz w:val="3"/>
                <w:szCs w:val="3"/>
                <w:color w:val="auto"/>
              </w:rPr>
            </w:pPr>
          </w:p>
        </w:tc>
        <w:tc>
          <w:tcPr>
            <w:tcW w:w="1080" w:type="dxa"/>
            <w:vAlign w:val="bottom"/>
            <w:vMerge w:val="restart"/>
          </w:tcPr>
          <w:p>
            <w:pPr>
              <w:jc w:val="center"/>
              <w:spacing w:after="0" w:line="94" w:lineRule="exact"/>
              <w:rPr>
                <w:sz w:val="20"/>
                <w:szCs w:val="20"/>
                <w:color w:val="auto"/>
              </w:rPr>
            </w:pPr>
            <w:r>
              <w:rPr>
                <w:rFonts w:ascii="Times New Roman" w:cs="Times New Roman" w:eastAsia="Times New Roman" w:hAnsi="Times New Roman"/>
                <w:sz w:val="9"/>
                <w:szCs w:val="9"/>
                <w:color w:val="0000FF"/>
              </w:rPr>
              <w:t>05/15/2026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4"/>
            <w:vMerge w:val="restart"/>
          </w:tcPr>
          <w:p>
            <w:pPr>
              <w:jc w:val="center"/>
              <w:ind w:right="362"/>
              <w:spacing w:after="0" w:line="94" w:lineRule="exact"/>
              <w:rPr>
                <w:sz w:val="20"/>
                <w:szCs w:val="20"/>
                <w:color w:val="auto"/>
              </w:rPr>
            </w:pPr>
            <w:r>
              <w:rPr>
                <w:rFonts w:ascii="Times New Roman" w:cs="Times New Roman" w:eastAsia="Times New Roman" w:hAnsi="Times New Roman"/>
                <w:sz w:val="9"/>
                <w:szCs w:val="9"/>
                <w:color w:val="0000FF"/>
              </w:rPr>
              <w:t>C</w:t>
            </w:r>
          </w:p>
        </w:tc>
        <w:tc>
          <w:tcPr>
            <w:tcW w:w="1140" w:type="dxa"/>
            <w:vAlign w:val="bottom"/>
            <w:gridSpan w:val="2"/>
            <w:vMerge w:val="restart"/>
          </w:tcPr>
          <w:p>
            <w:pPr>
              <w:jc w:val="right"/>
              <w:ind w:right="543"/>
              <w:spacing w:after="0" w:line="94" w:lineRule="exact"/>
              <w:rPr>
                <w:sz w:val="20"/>
                <w:szCs w:val="20"/>
                <w:color w:val="auto"/>
              </w:rPr>
            </w:pPr>
            <w:r>
              <w:rPr>
                <w:rFonts w:ascii="Times New Roman" w:cs="Times New Roman" w:eastAsia="Times New Roman" w:hAnsi="Times New Roman"/>
                <w:sz w:val="9"/>
                <w:szCs w:val="9"/>
                <w:color w:val="0000FF"/>
              </w:rPr>
              <w:t>12,372,199</w:t>
            </w:r>
          </w:p>
        </w:tc>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vMerge w:val="restart"/>
          </w:tcPr>
          <w:p>
            <w:pPr>
              <w:jc w:val="center"/>
              <w:ind w:right="2"/>
              <w:spacing w:after="0" w:line="94" w:lineRule="exact"/>
              <w:rPr>
                <w:sz w:val="20"/>
                <w:szCs w:val="20"/>
                <w:color w:val="auto"/>
              </w:rPr>
            </w:pPr>
            <w:r>
              <w:rPr>
                <w:rFonts w:ascii="Times New Roman" w:cs="Times New Roman" w:eastAsia="Times New Roman" w:hAnsi="Times New Roman"/>
                <w:sz w:val="9"/>
                <w:szCs w:val="9"/>
                <w:color w:val="0000FF"/>
              </w:rPr>
              <w:t>Common</w:t>
            </w:r>
          </w:p>
        </w:tc>
        <w:tc>
          <w:tcPr>
            <w:tcW w:w="760" w:type="dxa"/>
            <w:vAlign w:val="bottom"/>
            <w:gridSpan w:val="3"/>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60" w:type="dxa"/>
            <w:vAlign w:val="bottom"/>
            <w:gridSpan w:val="2"/>
            <w:vMerge w:val="restart"/>
          </w:tcPr>
          <w:p>
            <w:pPr>
              <w:jc w:val="center"/>
              <w:spacing w:after="0" w:line="94" w:lineRule="exact"/>
              <w:rPr>
                <w:sz w:val="20"/>
                <w:szCs w:val="20"/>
                <w:color w:val="auto"/>
              </w:rPr>
            </w:pPr>
            <w:r>
              <w:rPr>
                <w:rFonts w:ascii="Times New Roman" w:cs="Times New Roman" w:eastAsia="Times New Roman" w:hAnsi="Times New Roman"/>
                <w:sz w:val="9"/>
                <w:szCs w:val="9"/>
                <w:color w:val="0000FF"/>
              </w:rPr>
              <w:t>13,466,197</w:t>
            </w:r>
          </w:p>
        </w:tc>
        <w:tc>
          <w:tcPr>
            <w:tcW w:w="500" w:type="dxa"/>
            <w:vAlign w:val="bottom"/>
            <w:vMerge w:val="restart"/>
          </w:tcPr>
          <w:p>
            <w:pPr>
              <w:ind w:left="380"/>
              <w:spacing w:after="0" w:line="94" w:lineRule="exact"/>
              <w:rPr>
                <w:sz w:val="20"/>
                <w:szCs w:val="20"/>
                <w:color w:val="auto"/>
              </w:rPr>
            </w:pPr>
            <w:r>
              <w:rPr>
                <w:rFonts w:ascii="Times New Roman" w:cs="Times New Roman" w:eastAsia="Times New Roman" w:hAnsi="Times New Roman"/>
                <w:sz w:val="9"/>
                <w:szCs w:val="9"/>
                <w:color w:val="0000FF"/>
              </w:rPr>
              <w:t>I</w:t>
            </w:r>
          </w:p>
        </w:tc>
        <w:tc>
          <w:tcPr>
            <w:tcW w:w="30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40" w:type="dxa"/>
            <w:vAlign w:val="bottom"/>
            <w:gridSpan w:val="3"/>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-3753485</wp:posOffset>
            </wp:positionV>
            <wp:extent cx="27940" cy="3759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75920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jc w:val="both"/>
        <w:ind w:left="40" w:right="180" w:hanging="10"/>
        <w:spacing w:after="0"/>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prior to the closing of the Issuer's initial public offering, each share of Class A common stock was reclassified, and each share of the Issuer's redeemable convertible preferred stock automatically converted and was reclassified, into one share of Class B Common Stock in an exempt transaction pursuant to Rule 16b-7. Each share of Class B common stock is convertible at any time at the option of the holder into one share of Class A common stock.</w:t>
      </w:r>
    </w:p>
    <w:p>
      <w:pPr>
        <w:spacing w:after="0" w:line="24" w:lineRule="exact"/>
        <w:rPr>
          <w:rFonts w:ascii="Times New Roman" w:cs="Times New Roman" w:eastAsia="Times New Roman" w:hAnsi="Times New Roman"/>
          <w:sz w:val="12"/>
          <w:szCs w:val="12"/>
          <w:color w:val="008000"/>
        </w:rPr>
      </w:pPr>
    </w:p>
    <w:p>
      <w:pPr>
        <w:ind w:left="40" w:right="260" w:hanging="10"/>
        <w:spacing w:after="0" w:line="23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486,175 shares of Class B common stock underlying Series C Preferred Stock, 309,678 shares of Class B common stock underlying Series D Preferred Stock, and 4,505 shares of Class B common stock underlying Series F Preferred Stock held by Eclipse Continuity Fund I, L.P. ("Eclipse Continuity Fund"); (ii) 6,548,466 shares of Class B common stock underlying Series E Preferred Stock held by Eclipse SPV II, L.P. ("Eclipse SPV II"); (iii) 599,880 shares of Class B common stock held by Eclipse SPV XIII, L.P. ("Eclipse SPV XIII"); and (iv) 494,118 shares of Class B common stock, 4,419,405 shares of Class B common stock underlying Series A Preferred Stock, 599,465 shares of Class B common stock underlying Series B Preferred Stock, and 4,505 shares of Class B common stock underlying Series F Preferred Stock held by Eclipse Ventures Fund I, L.P. ("Eclipse Fund," and together with Eclipse Continuity Fund, Eclipse SPV II, and Eclipse SPV XIII, "Eclipse Entities").</w:t>
      </w:r>
    </w:p>
    <w:p>
      <w:pPr>
        <w:spacing w:after="0" w:line="26" w:lineRule="exact"/>
        <w:rPr>
          <w:rFonts w:ascii="Times New Roman" w:cs="Times New Roman" w:eastAsia="Times New Roman" w:hAnsi="Times New Roman"/>
          <w:sz w:val="12"/>
          <w:szCs w:val="12"/>
          <w:color w:val="008000"/>
        </w:rPr>
      </w:pPr>
    </w:p>
    <w:p>
      <w:pPr>
        <w:ind w:left="140" w:hanging="110"/>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managing member of the general partner of each of the Eclipse Entities and may be deemed to have voting, investment, and dispositive power with respect to the shares held by such entities.</w:t>
      </w:r>
    </w:p>
    <w:p>
      <w:pPr>
        <w:spacing w:after="0" w:line="39" w:lineRule="exact"/>
        <w:rPr>
          <w:rFonts w:ascii="Times New Roman" w:cs="Times New Roman" w:eastAsia="Times New Roman" w:hAnsi="Times New Roman"/>
          <w:sz w:val="12"/>
          <w:szCs w:val="12"/>
          <w:color w:val="008000"/>
        </w:rPr>
      </w:pPr>
    </w:p>
    <w:p>
      <w:pPr>
        <w:ind w:left="40" w:right="160" w:hanging="10"/>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herein, consists of (i) 800,358 shares of Class B common stock held by Eclipse Continuity Fund, (ii) 6,548,466 shares of Class B common stock held by Eclipse SPV II, (iii) 599,880 shares of Class B common stock held by Eclipse SPV XIII, and (iv) 5,517,493 shares of Class B common stock held by Eclipse Fund.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rPr>
              <w:t>/s/ Shirley Li, Attorney-in-Fact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9"/>
              </w:rPr>
              <w:t>05/15/2026</w:t>
            </w:r>
          </w:p>
        </w:tc>
      </w:tr>
      <w:tr>
        <w:trPr>
          <w:trHeight w:val="208"/>
        </w:trPr>
        <w:tc>
          <w:tcPr>
            <w:tcW w:w="20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4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40" w:right="4200" w:hanging="10"/>
        <w:spacing w:after="0" w:line="335" w:lineRule="auto"/>
        <w:tabs>
          <w:tab w:leader="none" w:pos="16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0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895"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2026-05-15T17:51:28Z</dcterms:created>
  <dcterms:modified xsi:type="dcterms:W3CDTF">2026-05-15T17:51:28Z</dcterms:modified>
</cp:coreProperties>
</file>