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t>As filed with the U.S. Securities and Exchange Commission on May 14, 2026.</w:t>
      </w:r>
    </w:p>
    <w:p>
      <w:pPr>
        <w:spacing w:after="0" w:line="2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Registration No. 333-</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UNITED STATES</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FORM S-8</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REGISTRATION STATEMENT</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UNDER</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THE SECURITIES ACT OF 1933</w:t>
      </w:r>
    </w:p>
    <w:p>
      <w:pPr>
        <w:spacing w:after="0" w:line="1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Cerebras Systems Inc.</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ectPr>
          <w:pgSz w:w="11900" w:h="16838" w:orient="portrait"/>
          <w:cols w:equalWidth="0" w:num="1">
            <w:col w:w="11240"/>
          </w:cols>
          <w:pgMar w:left="320" w:top="517" w:right="339" w:bottom="1440" w:gutter="0" w:footer="0" w:header="0"/>
        </w:sectPr>
      </w:pPr>
    </w:p>
    <w:p>
      <w:pPr>
        <w:spacing w:after="0" w:line="118" w:lineRule="exact"/>
        <w:rPr>
          <w:sz w:val="24"/>
          <w:szCs w:val="24"/>
          <w:color w:val="auto"/>
        </w:rPr>
      </w:pPr>
    </w:p>
    <w:p>
      <w:pPr>
        <w:ind w:left="300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81-2256092</w:t>
      </w:r>
    </w:p>
    <w:p>
      <w:pPr>
        <w:spacing w:after="0" w:line="29" w:lineRule="exact"/>
        <w:rPr>
          <w:sz w:val="24"/>
          <w:szCs w:val="24"/>
          <w:color w:val="auto"/>
        </w:rPr>
      </w:pPr>
    </w:p>
    <w:p>
      <w:pPr>
        <w:sectPr>
          <w:pgSz w:w="11900" w:h="16838" w:orient="portrait"/>
          <w:cols w:equalWidth="0" w:num="2">
            <w:col w:w="6780" w:space="720"/>
            <w:col w:w="3740"/>
          </w:cols>
          <w:pgMar w:left="320" w:top="517" w:right="339" w:bottom="1440" w:gutter="0" w:footer="0" w:header="0"/>
          <w:type w:val="continuous"/>
        </w:sectPr>
      </w:pPr>
    </w:p>
    <w:p>
      <w:pPr>
        <w:ind w:left="25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246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3"/>
          <w:szCs w:val="13"/>
          <w:b w:val="1"/>
          <w:bCs w:val="1"/>
          <w:color w:val="auto"/>
        </w:rPr>
        <w:t>Identification No.)</w:t>
      </w:r>
    </w:p>
    <w:p>
      <w:pPr>
        <w:spacing w:after="0" w:line="85" w:lineRule="exact"/>
        <w:rPr>
          <w:sz w:val="24"/>
          <w:szCs w:val="24"/>
          <w:color w:val="auto"/>
        </w:rPr>
      </w:pPr>
    </w:p>
    <w:p>
      <w:pPr>
        <w:sectPr>
          <w:pgSz w:w="11900" w:h="16838" w:orient="portrait"/>
          <w:cols w:equalWidth="0" w:num="2">
            <w:col w:w="6660" w:space="720"/>
            <w:col w:w="3860"/>
          </w:cols>
          <w:pgMar w:left="320" w:top="517"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b w:val="1"/>
          <w:bCs w:val="1"/>
          <w:color w:val="auto"/>
        </w:rPr>
        <w:t>1237 E. Arques Avenue</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Sunnyvale, California 94085</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(650) 933-4980</w:t>
      </w:r>
    </w:p>
    <w:p>
      <w:pPr>
        <w:sectPr>
          <w:pgSz w:w="11900" w:h="16838" w:orient="portrait"/>
          <w:cols w:equalWidth="0" w:num="1">
            <w:col w:w="11240"/>
          </w:cols>
          <w:pgMar w:left="320" w:top="517" w:right="339" w:bottom="1440" w:gutter="0" w:footer="0" w:header="0"/>
          <w:type w:val="continuous"/>
        </w:sectPr>
      </w:pPr>
    </w:p>
    <w:p>
      <w:pPr>
        <w:spacing w:after="0" w:line="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 (Zip Code)</w:t>
      </w:r>
    </w:p>
    <w:p>
      <w:pPr>
        <w:spacing w:after="0" w:line="1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Cerebras Systems Inc. 2016 Equity Incentive Plan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Cerebras Systems Inc. 2026 Incentive Award Plan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Cerebras Systems Inc. 2026 Employee Stock Purchase Plan</w:t>
      </w:r>
    </w:p>
    <w:p>
      <w:pPr>
        <w:jc w:val="center"/>
        <w:spacing w:after="0"/>
        <w:rPr>
          <w:sz w:val="20"/>
          <w:szCs w:val="20"/>
          <w:color w:val="auto"/>
        </w:rPr>
      </w:pPr>
      <w:r>
        <w:rPr>
          <w:rFonts w:ascii="Times New Roman" w:cs="Times New Roman" w:eastAsia="Times New Roman" w:hAnsi="Times New Roman"/>
          <w:sz w:val="13"/>
          <w:szCs w:val="13"/>
          <w:b w:val="1"/>
          <w:bCs w:val="1"/>
          <w:color w:val="auto"/>
        </w:rPr>
        <w:t>(Full title of the plan)</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Andrew D. Feldman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Chief Executive Officer and President</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Cerebras Systems Inc.</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1237 E. Arques Avenue</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Sunnyvale, California 94085</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(650) 933-4980</w:t>
      </w:r>
    </w:p>
    <w:p>
      <w:pPr>
        <w:jc w:val="center"/>
        <w:spacing w:after="0"/>
        <w:rPr>
          <w:sz w:val="20"/>
          <w:szCs w:val="20"/>
          <w:color w:val="auto"/>
        </w:rPr>
      </w:pPr>
      <w:r>
        <w:rPr>
          <w:rFonts w:ascii="Times New Roman" w:cs="Times New Roman" w:eastAsia="Times New Roman" w:hAnsi="Times New Roman"/>
          <w:sz w:val="13"/>
          <w:szCs w:val="13"/>
          <w:b w:val="1"/>
          <w:bCs w:val="1"/>
          <w:color w:val="auto"/>
        </w:rPr>
        <w:t>(Name, address and telephone number, including area code, of agent for service)</w:t>
      </w:r>
    </w:p>
    <w:p>
      <w:pPr>
        <w:spacing w:after="0" w:line="98" w:lineRule="exact"/>
        <w:rPr>
          <w:sz w:val="24"/>
          <w:szCs w:val="24"/>
          <w:color w:val="auto"/>
        </w:rPr>
      </w:pPr>
    </w:p>
    <w:tbl>
      <w:tblPr>
        <w:tblLayout w:type="fixed"/>
        <w:tblInd w:w="2200" w:type="dxa"/>
        <w:tblCellMar>
          <w:top w:w="0" w:type="dxa"/>
          <w:left w:w="0" w:type="dxa"/>
          <w:bottom w:w="0" w:type="dxa"/>
          <w:right w:w="0" w:type="dxa"/>
        </w:tblCellMar>
      </w:tblPr>
      <w:tr>
        <w:trPr>
          <w:trHeight w:val="220"/>
        </w:trPr>
        <w:tc>
          <w:tcPr>
            <w:tcW w:w="2680" w:type="dxa"/>
            <w:vAlign w:val="bottom"/>
          </w:tcPr>
          <w:p>
            <w:pPr>
              <w:spacing w:after="0"/>
              <w:rPr>
                <w:sz w:val="19"/>
                <w:szCs w:val="19"/>
                <w:color w:val="auto"/>
              </w:rPr>
            </w:pPr>
          </w:p>
        </w:tc>
        <w:tc>
          <w:tcPr>
            <w:tcW w:w="4020" w:type="dxa"/>
            <w:vAlign w:val="bottom"/>
          </w:tcPr>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Copies to:</w:t>
            </w:r>
          </w:p>
        </w:tc>
        <w:tc>
          <w:tcPr>
            <w:tcW w:w="0" w:type="dxa"/>
            <w:vAlign w:val="bottom"/>
          </w:tcPr>
          <w:p>
            <w:pPr>
              <w:spacing w:after="0"/>
              <w:rPr>
                <w:sz w:val="1"/>
                <w:szCs w:val="1"/>
                <w:color w:val="auto"/>
              </w:rPr>
            </w:pPr>
          </w:p>
        </w:tc>
      </w:tr>
      <w:tr>
        <w:trPr>
          <w:trHeight w:val="328"/>
        </w:trPr>
        <w:tc>
          <w:tcPr>
            <w:tcW w:w="2680" w:type="dxa"/>
            <w:vAlign w:val="bottom"/>
          </w:tcPr>
          <w:p>
            <w:pPr>
              <w:jc w:val="center"/>
              <w:ind w:right="317"/>
              <w:spacing w:after="0"/>
              <w:rPr>
                <w:sz w:val="20"/>
                <w:szCs w:val="20"/>
                <w:color w:val="auto"/>
              </w:rPr>
            </w:pPr>
            <w:r>
              <w:rPr>
                <w:rFonts w:ascii="Times New Roman" w:cs="Times New Roman" w:eastAsia="Times New Roman" w:hAnsi="Times New Roman"/>
                <w:sz w:val="17"/>
                <w:szCs w:val="17"/>
                <w:b w:val="1"/>
                <w:bCs w:val="1"/>
                <w:color w:val="auto"/>
                <w:w w:val="94"/>
              </w:rPr>
              <w:t>Tad J. Freese</w:t>
            </w:r>
          </w:p>
        </w:tc>
        <w:tc>
          <w:tcPr>
            <w:tcW w:w="4020" w:type="dxa"/>
            <w:vAlign w:val="bottom"/>
            <w:vMerge w:val="restart"/>
          </w:tcPr>
          <w:p>
            <w:pPr>
              <w:jc w:val="center"/>
              <w:ind w:left="1957"/>
              <w:spacing w:after="0"/>
              <w:rPr>
                <w:sz w:val="20"/>
                <w:szCs w:val="20"/>
                <w:color w:val="auto"/>
              </w:rPr>
            </w:pPr>
            <w:r>
              <w:rPr>
                <w:rFonts w:ascii="Times New Roman" w:cs="Times New Roman" w:eastAsia="Times New Roman" w:hAnsi="Times New Roman"/>
                <w:sz w:val="17"/>
                <w:szCs w:val="17"/>
                <w:b w:val="1"/>
                <w:bCs w:val="1"/>
                <w:color w:val="auto"/>
                <w:w w:val="96"/>
              </w:rPr>
              <w:t>Shirley X. Li</w:t>
            </w:r>
          </w:p>
        </w:tc>
        <w:tc>
          <w:tcPr>
            <w:tcW w:w="0" w:type="dxa"/>
            <w:vAlign w:val="bottom"/>
          </w:tcPr>
          <w:p>
            <w:pPr>
              <w:spacing w:after="0"/>
              <w:rPr>
                <w:sz w:val="1"/>
                <w:szCs w:val="1"/>
                <w:color w:val="auto"/>
              </w:rPr>
            </w:pPr>
          </w:p>
        </w:tc>
      </w:tr>
      <w:tr>
        <w:trPr>
          <w:trHeight w:val="100"/>
        </w:trPr>
        <w:tc>
          <w:tcPr>
            <w:tcW w:w="2680" w:type="dxa"/>
            <w:vAlign w:val="bottom"/>
            <w:vMerge w:val="restart"/>
          </w:tcPr>
          <w:p>
            <w:pPr>
              <w:jc w:val="center"/>
              <w:ind w:right="317"/>
              <w:spacing w:after="0"/>
              <w:rPr>
                <w:sz w:val="20"/>
                <w:szCs w:val="20"/>
                <w:color w:val="auto"/>
              </w:rPr>
            </w:pPr>
            <w:r>
              <w:rPr>
                <w:rFonts w:ascii="Times New Roman" w:cs="Times New Roman" w:eastAsia="Times New Roman" w:hAnsi="Times New Roman"/>
                <w:sz w:val="17"/>
                <w:szCs w:val="17"/>
                <w:b w:val="1"/>
                <w:bCs w:val="1"/>
                <w:color w:val="auto"/>
                <w:w w:val="97"/>
              </w:rPr>
              <w:t>Sarah B. Axtell</w:t>
            </w:r>
          </w:p>
        </w:tc>
        <w:tc>
          <w:tcPr>
            <w:tcW w:w="4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680" w:type="dxa"/>
            <w:vAlign w:val="bottom"/>
            <w:vMerge w:val="continue"/>
          </w:tcPr>
          <w:p>
            <w:pPr>
              <w:spacing w:after="0"/>
              <w:rPr>
                <w:sz w:val="8"/>
                <w:szCs w:val="8"/>
                <w:color w:val="auto"/>
              </w:rPr>
            </w:pPr>
          </w:p>
        </w:tc>
        <w:tc>
          <w:tcPr>
            <w:tcW w:w="4020" w:type="dxa"/>
            <w:vAlign w:val="bottom"/>
            <w:vMerge w:val="restart"/>
          </w:tcPr>
          <w:p>
            <w:pPr>
              <w:jc w:val="center"/>
              <w:ind w:left="1957"/>
              <w:spacing w:after="0"/>
              <w:rPr>
                <w:sz w:val="20"/>
                <w:szCs w:val="20"/>
                <w:color w:val="auto"/>
              </w:rPr>
            </w:pPr>
            <w:r>
              <w:rPr>
                <w:rFonts w:ascii="Times New Roman" w:cs="Times New Roman" w:eastAsia="Times New Roman" w:hAnsi="Times New Roman"/>
                <w:sz w:val="17"/>
                <w:szCs w:val="17"/>
                <w:b w:val="1"/>
                <w:bCs w:val="1"/>
                <w:color w:val="auto"/>
                <w:w w:val="96"/>
              </w:rPr>
              <w:t>Christopher Ing</w:t>
            </w:r>
          </w:p>
        </w:tc>
        <w:tc>
          <w:tcPr>
            <w:tcW w:w="0" w:type="dxa"/>
            <w:vAlign w:val="bottom"/>
          </w:tcPr>
          <w:p>
            <w:pPr>
              <w:spacing w:after="0"/>
              <w:rPr>
                <w:sz w:val="1"/>
                <w:szCs w:val="1"/>
                <w:color w:val="auto"/>
              </w:rPr>
            </w:pPr>
          </w:p>
        </w:tc>
      </w:tr>
      <w:tr>
        <w:trPr>
          <w:trHeight w:val="100"/>
        </w:trPr>
        <w:tc>
          <w:tcPr>
            <w:tcW w:w="2680" w:type="dxa"/>
            <w:vAlign w:val="bottom"/>
            <w:vMerge w:val="restart"/>
          </w:tcPr>
          <w:p>
            <w:pPr>
              <w:jc w:val="center"/>
              <w:ind w:right="297"/>
              <w:spacing w:after="0"/>
              <w:rPr>
                <w:sz w:val="20"/>
                <w:szCs w:val="20"/>
                <w:color w:val="auto"/>
              </w:rPr>
            </w:pPr>
            <w:r>
              <w:rPr>
                <w:rFonts w:ascii="Times New Roman" w:cs="Times New Roman" w:eastAsia="Times New Roman" w:hAnsi="Times New Roman"/>
                <w:sz w:val="17"/>
                <w:szCs w:val="17"/>
                <w:b w:val="1"/>
                <w:bCs w:val="1"/>
                <w:color w:val="auto"/>
                <w:w w:val="95"/>
              </w:rPr>
              <w:t>Zuzanna V. Gruca</w:t>
            </w:r>
          </w:p>
        </w:tc>
        <w:tc>
          <w:tcPr>
            <w:tcW w:w="4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680" w:type="dxa"/>
            <w:vAlign w:val="bottom"/>
            <w:vMerge w:val="continue"/>
          </w:tcPr>
          <w:p>
            <w:pPr>
              <w:spacing w:after="0"/>
              <w:rPr>
                <w:sz w:val="8"/>
                <w:szCs w:val="8"/>
                <w:color w:val="auto"/>
              </w:rPr>
            </w:pPr>
          </w:p>
        </w:tc>
        <w:tc>
          <w:tcPr>
            <w:tcW w:w="4020" w:type="dxa"/>
            <w:vAlign w:val="bottom"/>
            <w:vMerge w:val="restart"/>
          </w:tcPr>
          <w:p>
            <w:pPr>
              <w:jc w:val="center"/>
              <w:ind w:left="1957"/>
              <w:spacing w:after="0"/>
              <w:rPr>
                <w:sz w:val="20"/>
                <w:szCs w:val="20"/>
                <w:color w:val="auto"/>
              </w:rPr>
            </w:pPr>
            <w:r>
              <w:rPr>
                <w:rFonts w:ascii="Times New Roman" w:cs="Times New Roman" w:eastAsia="Times New Roman" w:hAnsi="Times New Roman"/>
                <w:sz w:val="17"/>
                <w:szCs w:val="17"/>
                <w:b w:val="1"/>
                <w:bCs w:val="1"/>
                <w:color w:val="auto"/>
                <w:w w:val="97"/>
              </w:rPr>
              <w:t>Cerebras Systems Inc.</w:t>
            </w:r>
          </w:p>
        </w:tc>
        <w:tc>
          <w:tcPr>
            <w:tcW w:w="0" w:type="dxa"/>
            <w:vAlign w:val="bottom"/>
          </w:tcPr>
          <w:p>
            <w:pPr>
              <w:spacing w:after="0"/>
              <w:rPr>
                <w:sz w:val="1"/>
                <w:szCs w:val="1"/>
                <w:color w:val="auto"/>
              </w:rPr>
            </w:pPr>
          </w:p>
        </w:tc>
      </w:tr>
      <w:tr>
        <w:trPr>
          <w:trHeight w:val="100"/>
        </w:trPr>
        <w:tc>
          <w:tcPr>
            <w:tcW w:w="2680" w:type="dxa"/>
            <w:vAlign w:val="bottom"/>
            <w:vMerge w:val="restart"/>
          </w:tcPr>
          <w:p>
            <w:pPr>
              <w:jc w:val="center"/>
              <w:ind w:right="317"/>
              <w:spacing w:after="0"/>
              <w:rPr>
                <w:sz w:val="20"/>
                <w:szCs w:val="20"/>
                <w:color w:val="auto"/>
              </w:rPr>
            </w:pPr>
            <w:r>
              <w:rPr>
                <w:rFonts w:ascii="Times New Roman" w:cs="Times New Roman" w:eastAsia="Times New Roman" w:hAnsi="Times New Roman"/>
                <w:sz w:val="17"/>
                <w:szCs w:val="17"/>
                <w:b w:val="1"/>
                <w:bCs w:val="1"/>
                <w:color w:val="auto"/>
                <w:w w:val="96"/>
              </w:rPr>
              <w:t>Latham &amp; Watkins LLP</w:t>
            </w:r>
          </w:p>
        </w:tc>
        <w:tc>
          <w:tcPr>
            <w:tcW w:w="4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680" w:type="dxa"/>
            <w:vAlign w:val="bottom"/>
            <w:vMerge w:val="continue"/>
          </w:tcPr>
          <w:p>
            <w:pPr>
              <w:spacing w:after="0"/>
              <w:rPr>
                <w:sz w:val="8"/>
                <w:szCs w:val="8"/>
                <w:color w:val="auto"/>
              </w:rPr>
            </w:pPr>
          </w:p>
        </w:tc>
        <w:tc>
          <w:tcPr>
            <w:tcW w:w="4020" w:type="dxa"/>
            <w:vAlign w:val="bottom"/>
            <w:vMerge w:val="restart"/>
          </w:tcPr>
          <w:p>
            <w:pPr>
              <w:jc w:val="center"/>
              <w:ind w:left="1937"/>
              <w:spacing w:after="0"/>
              <w:rPr>
                <w:sz w:val="20"/>
                <w:szCs w:val="20"/>
                <w:color w:val="auto"/>
              </w:rPr>
            </w:pPr>
            <w:r>
              <w:rPr>
                <w:rFonts w:ascii="Times New Roman" w:cs="Times New Roman" w:eastAsia="Times New Roman" w:hAnsi="Times New Roman"/>
                <w:sz w:val="17"/>
                <w:szCs w:val="17"/>
                <w:b w:val="1"/>
                <w:bCs w:val="1"/>
                <w:color w:val="auto"/>
                <w:w w:val="96"/>
              </w:rPr>
              <w:t>1237 E. Arques Avenue</w:t>
            </w:r>
          </w:p>
        </w:tc>
        <w:tc>
          <w:tcPr>
            <w:tcW w:w="0" w:type="dxa"/>
            <w:vAlign w:val="bottom"/>
          </w:tcPr>
          <w:p>
            <w:pPr>
              <w:spacing w:after="0"/>
              <w:rPr>
                <w:sz w:val="1"/>
                <w:szCs w:val="1"/>
                <w:color w:val="auto"/>
              </w:rPr>
            </w:pPr>
          </w:p>
        </w:tc>
      </w:tr>
      <w:tr>
        <w:trPr>
          <w:trHeight w:val="100"/>
        </w:trPr>
        <w:tc>
          <w:tcPr>
            <w:tcW w:w="2680" w:type="dxa"/>
            <w:vAlign w:val="bottom"/>
            <w:vMerge w:val="restart"/>
          </w:tcPr>
          <w:p>
            <w:pPr>
              <w:jc w:val="center"/>
              <w:ind w:right="317"/>
              <w:spacing w:after="0"/>
              <w:rPr>
                <w:sz w:val="20"/>
                <w:szCs w:val="20"/>
                <w:color w:val="auto"/>
              </w:rPr>
            </w:pPr>
            <w:r>
              <w:rPr>
                <w:rFonts w:ascii="Times New Roman" w:cs="Times New Roman" w:eastAsia="Times New Roman" w:hAnsi="Times New Roman"/>
                <w:sz w:val="17"/>
                <w:szCs w:val="17"/>
                <w:b w:val="1"/>
                <w:bCs w:val="1"/>
                <w:color w:val="auto"/>
                <w:w w:val="96"/>
              </w:rPr>
              <w:t>801 Jefferson Avenue, Suite 300</w:t>
            </w:r>
          </w:p>
        </w:tc>
        <w:tc>
          <w:tcPr>
            <w:tcW w:w="4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680" w:type="dxa"/>
            <w:vAlign w:val="bottom"/>
            <w:vMerge w:val="continue"/>
          </w:tcPr>
          <w:p>
            <w:pPr>
              <w:spacing w:after="0"/>
              <w:rPr>
                <w:sz w:val="8"/>
                <w:szCs w:val="8"/>
                <w:color w:val="auto"/>
              </w:rPr>
            </w:pPr>
          </w:p>
        </w:tc>
        <w:tc>
          <w:tcPr>
            <w:tcW w:w="4020" w:type="dxa"/>
            <w:vAlign w:val="bottom"/>
            <w:vMerge w:val="restart"/>
          </w:tcPr>
          <w:p>
            <w:pPr>
              <w:jc w:val="center"/>
              <w:ind w:left="1937"/>
              <w:spacing w:after="0"/>
              <w:rPr>
                <w:sz w:val="20"/>
                <w:szCs w:val="20"/>
                <w:color w:val="auto"/>
              </w:rPr>
            </w:pPr>
            <w:r>
              <w:rPr>
                <w:rFonts w:ascii="Times New Roman" w:cs="Times New Roman" w:eastAsia="Times New Roman" w:hAnsi="Times New Roman"/>
                <w:sz w:val="17"/>
                <w:szCs w:val="17"/>
                <w:b w:val="1"/>
                <w:bCs w:val="1"/>
                <w:color w:val="auto"/>
                <w:w w:val="97"/>
              </w:rPr>
              <w:t>Sunnyvale, California 94085</w:t>
            </w:r>
          </w:p>
        </w:tc>
        <w:tc>
          <w:tcPr>
            <w:tcW w:w="0" w:type="dxa"/>
            <w:vAlign w:val="bottom"/>
          </w:tcPr>
          <w:p>
            <w:pPr>
              <w:spacing w:after="0"/>
              <w:rPr>
                <w:sz w:val="1"/>
                <w:szCs w:val="1"/>
                <w:color w:val="auto"/>
              </w:rPr>
            </w:pPr>
          </w:p>
        </w:tc>
      </w:tr>
      <w:tr>
        <w:trPr>
          <w:trHeight w:val="100"/>
        </w:trPr>
        <w:tc>
          <w:tcPr>
            <w:tcW w:w="2680" w:type="dxa"/>
            <w:vAlign w:val="bottom"/>
            <w:vMerge w:val="restart"/>
          </w:tcPr>
          <w:p>
            <w:pPr>
              <w:jc w:val="center"/>
              <w:ind w:right="317"/>
              <w:spacing w:after="0"/>
              <w:rPr>
                <w:sz w:val="20"/>
                <w:szCs w:val="20"/>
                <w:color w:val="auto"/>
              </w:rPr>
            </w:pPr>
            <w:r>
              <w:rPr>
                <w:rFonts w:ascii="Times New Roman" w:cs="Times New Roman" w:eastAsia="Times New Roman" w:hAnsi="Times New Roman"/>
                <w:sz w:val="17"/>
                <w:szCs w:val="17"/>
                <w:b w:val="1"/>
                <w:bCs w:val="1"/>
                <w:color w:val="auto"/>
                <w:w w:val="97"/>
              </w:rPr>
              <w:t>Redwood City, California 94063</w:t>
            </w:r>
          </w:p>
        </w:tc>
        <w:tc>
          <w:tcPr>
            <w:tcW w:w="4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680" w:type="dxa"/>
            <w:vAlign w:val="bottom"/>
            <w:vMerge w:val="continue"/>
          </w:tcPr>
          <w:p>
            <w:pPr>
              <w:spacing w:after="0"/>
              <w:rPr>
                <w:sz w:val="8"/>
                <w:szCs w:val="8"/>
                <w:color w:val="auto"/>
              </w:rPr>
            </w:pPr>
          </w:p>
        </w:tc>
        <w:tc>
          <w:tcPr>
            <w:tcW w:w="4020" w:type="dxa"/>
            <w:vAlign w:val="bottom"/>
            <w:vMerge w:val="restart"/>
          </w:tcPr>
          <w:p>
            <w:pPr>
              <w:jc w:val="center"/>
              <w:ind w:left="1937"/>
              <w:spacing w:after="0"/>
              <w:rPr>
                <w:sz w:val="20"/>
                <w:szCs w:val="20"/>
                <w:color w:val="auto"/>
              </w:rPr>
            </w:pPr>
            <w:r>
              <w:rPr>
                <w:rFonts w:ascii="Times New Roman" w:cs="Times New Roman" w:eastAsia="Times New Roman" w:hAnsi="Times New Roman"/>
                <w:sz w:val="17"/>
                <w:szCs w:val="17"/>
                <w:b w:val="1"/>
                <w:bCs w:val="1"/>
                <w:color w:val="auto"/>
                <w:w w:val="97"/>
              </w:rPr>
              <w:t>(650) 933-4980</w:t>
            </w:r>
          </w:p>
        </w:tc>
        <w:tc>
          <w:tcPr>
            <w:tcW w:w="0" w:type="dxa"/>
            <w:vAlign w:val="bottom"/>
          </w:tcPr>
          <w:p>
            <w:pPr>
              <w:spacing w:after="0"/>
              <w:rPr>
                <w:sz w:val="1"/>
                <w:szCs w:val="1"/>
                <w:color w:val="auto"/>
              </w:rPr>
            </w:pPr>
          </w:p>
        </w:tc>
      </w:tr>
      <w:tr>
        <w:trPr>
          <w:trHeight w:val="120"/>
        </w:trPr>
        <w:tc>
          <w:tcPr>
            <w:tcW w:w="2680" w:type="dxa"/>
            <w:vAlign w:val="bottom"/>
            <w:vMerge w:val="restart"/>
          </w:tcPr>
          <w:p>
            <w:pPr>
              <w:jc w:val="center"/>
              <w:ind w:right="317"/>
              <w:spacing w:after="0"/>
              <w:rPr>
                <w:sz w:val="20"/>
                <w:szCs w:val="20"/>
                <w:color w:val="auto"/>
              </w:rPr>
            </w:pPr>
            <w:r>
              <w:rPr>
                <w:rFonts w:ascii="Times New Roman" w:cs="Times New Roman" w:eastAsia="Times New Roman" w:hAnsi="Times New Roman"/>
                <w:sz w:val="17"/>
                <w:szCs w:val="17"/>
                <w:b w:val="1"/>
                <w:bCs w:val="1"/>
                <w:color w:val="auto"/>
                <w:w w:val="97"/>
              </w:rPr>
              <w:t>(650) 328-4600</w:t>
            </w:r>
          </w:p>
        </w:tc>
        <w:tc>
          <w:tcPr>
            <w:tcW w:w="4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2680" w:type="dxa"/>
            <w:vAlign w:val="bottom"/>
            <w:vMerge w:val="continue"/>
          </w:tcPr>
          <w:p>
            <w:pPr>
              <w:spacing w:after="0"/>
              <w:rPr>
                <w:sz w:val="8"/>
                <w:szCs w:val="8"/>
                <w:color w:val="auto"/>
              </w:rPr>
            </w:pPr>
          </w:p>
        </w:tc>
        <w:tc>
          <w:tcPr>
            <w:tcW w:w="40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81" w:lineRule="exact"/>
        <w:rPr>
          <w:sz w:val="24"/>
          <w:szCs w:val="24"/>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9" w:lineRule="exact"/>
        <w:rPr>
          <w:sz w:val="24"/>
          <w:szCs w:val="24"/>
          <w:color w:val="auto"/>
        </w:rPr>
      </w:pPr>
    </w:p>
    <w:tbl>
      <w:tblPr>
        <w:tblLayout w:type="fixed"/>
        <w:tblInd w:w="1080" w:type="dxa"/>
        <w:tblCellMar>
          <w:top w:w="0" w:type="dxa"/>
          <w:left w:w="0" w:type="dxa"/>
          <w:bottom w:w="0" w:type="dxa"/>
          <w:right w:w="0" w:type="dxa"/>
        </w:tblCellMar>
      </w:tblPr>
      <w:tr>
        <w:trPr>
          <w:trHeight w:val="212"/>
        </w:trPr>
        <w:tc>
          <w:tcPr>
            <w:tcW w:w="174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2220" w:type="dxa"/>
            <w:vAlign w:val="bottom"/>
          </w:tcPr>
          <w:p>
            <w:pPr>
              <w:ind w:left="260"/>
              <w:spacing w:after="0"/>
              <w:rPr>
                <w:sz w:val="20"/>
                <w:szCs w:val="20"/>
                <w:color w:val="auto"/>
              </w:rPr>
            </w:pPr>
            <w:r>
              <w:rPr>
                <w:rFonts w:ascii="Wingdings" w:cs="Wingdings" w:eastAsia="Wingdings" w:hAnsi="Wingdings"/>
                <w:sz w:val="17"/>
                <w:szCs w:val="17"/>
                <w:b w:val="1"/>
                <w:bCs w:val="1"/>
                <w:color w:val="auto"/>
              </w:rPr>
              <w:t>o</w:t>
            </w:r>
          </w:p>
        </w:tc>
        <w:tc>
          <w:tcPr>
            <w:tcW w:w="4220" w:type="dxa"/>
            <w:vAlign w:val="bottom"/>
          </w:tcPr>
          <w:p>
            <w:pPr>
              <w:ind w:left="1780"/>
              <w:spacing w:after="0"/>
              <w:rPr>
                <w:sz w:val="20"/>
                <w:szCs w:val="20"/>
                <w:color w:val="auto"/>
              </w:rPr>
            </w:pPr>
            <w:r>
              <w:rPr>
                <w:rFonts w:ascii="Times New Roman" w:cs="Times New Roman" w:eastAsia="Times New Roman" w:hAnsi="Times New Roman"/>
                <w:sz w:val="17"/>
                <w:szCs w:val="17"/>
                <w:color w:val="auto"/>
              </w:rPr>
              <w:t>Accelerated filer</w:t>
            </w:r>
          </w:p>
        </w:tc>
        <w:tc>
          <w:tcPr>
            <w:tcW w:w="780" w:type="dxa"/>
            <w:vAlign w:val="bottom"/>
          </w:tcPr>
          <w:p>
            <w:pPr>
              <w:ind w:left="620"/>
              <w:spacing w:after="0"/>
              <w:rPr>
                <w:sz w:val="20"/>
                <w:szCs w:val="20"/>
                <w:color w:val="auto"/>
              </w:rPr>
            </w:pPr>
            <w:r>
              <w:rPr>
                <w:rFonts w:ascii="Wingdings" w:cs="Wingdings" w:eastAsia="Wingdings" w:hAnsi="Wingdings"/>
                <w:sz w:val="17"/>
                <w:szCs w:val="17"/>
                <w:b w:val="1"/>
                <w:bCs w:val="1"/>
                <w:color w:val="auto"/>
                <w:w w:val="92"/>
              </w:rPr>
              <w:t>o</w:t>
            </w:r>
          </w:p>
        </w:tc>
      </w:tr>
      <w:tr>
        <w:trPr>
          <w:trHeight w:val="212"/>
        </w:trPr>
        <w:tc>
          <w:tcPr>
            <w:tcW w:w="174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2220" w:type="dxa"/>
            <w:vAlign w:val="bottom"/>
          </w:tcPr>
          <w:p>
            <w:pPr>
              <w:ind w:left="260"/>
              <w:spacing w:after="0"/>
              <w:rPr>
                <w:sz w:val="20"/>
                <w:szCs w:val="20"/>
                <w:color w:val="auto"/>
              </w:rPr>
            </w:pPr>
            <w:r>
              <w:rPr>
                <w:rFonts w:ascii="Wingdings" w:cs="Wingdings" w:eastAsia="Wingdings" w:hAnsi="Wingdings"/>
                <w:sz w:val="17"/>
                <w:szCs w:val="17"/>
                <w:b w:val="1"/>
                <w:bCs w:val="1"/>
                <w:color w:val="auto"/>
              </w:rPr>
              <w:t>x</w:t>
            </w:r>
          </w:p>
        </w:tc>
        <w:tc>
          <w:tcPr>
            <w:tcW w:w="4220" w:type="dxa"/>
            <w:vAlign w:val="bottom"/>
          </w:tcPr>
          <w:p>
            <w:pPr>
              <w:ind w:left="178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780" w:type="dxa"/>
            <w:vAlign w:val="bottom"/>
          </w:tcPr>
          <w:p>
            <w:pPr>
              <w:ind w:left="620"/>
              <w:spacing w:after="0"/>
              <w:rPr>
                <w:sz w:val="20"/>
                <w:szCs w:val="20"/>
                <w:color w:val="auto"/>
              </w:rPr>
            </w:pPr>
            <w:r>
              <w:rPr>
                <w:rFonts w:ascii="Wingdings" w:cs="Wingdings" w:eastAsia="Wingdings" w:hAnsi="Wingdings"/>
                <w:sz w:val="17"/>
                <w:szCs w:val="17"/>
                <w:b w:val="1"/>
                <w:bCs w:val="1"/>
                <w:color w:val="auto"/>
                <w:w w:val="92"/>
              </w:rPr>
              <w:t>o</w:t>
            </w:r>
          </w:p>
        </w:tc>
      </w:tr>
      <w:tr>
        <w:trPr>
          <w:trHeight w:val="216"/>
        </w:trPr>
        <w:tc>
          <w:tcPr>
            <w:tcW w:w="17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220" w:type="dxa"/>
            <w:vAlign w:val="bottom"/>
          </w:tcPr>
          <w:p>
            <w:pPr>
              <w:ind w:left="1780"/>
              <w:spacing w:after="0"/>
              <w:rPr>
                <w:sz w:val="20"/>
                <w:szCs w:val="20"/>
                <w:color w:val="auto"/>
              </w:rPr>
            </w:pPr>
            <w:r>
              <w:rPr>
                <w:rFonts w:ascii="Times New Roman" w:cs="Times New Roman" w:eastAsia="Times New Roman" w:hAnsi="Times New Roman"/>
                <w:sz w:val="17"/>
                <w:szCs w:val="17"/>
                <w:color w:val="auto"/>
              </w:rPr>
              <w:t>Emerging growth company</w:t>
            </w:r>
          </w:p>
        </w:tc>
        <w:tc>
          <w:tcPr>
            <w:tcW w:w="780" w:type="dxa"/>
            <w:vAlign w:val="bottom"/>
          </w:tcPr>
          <w:p>
            <w:pPr>
              <w:ind w:left="620"/>
              <w:spacing w:after="0"/>
              <w:rPr>
                <w:sz w:val="20"/>
                <w:szCs w:val="20"/>
                <w:color w:val="auto"/>
              </w:rPr>
            </w:pPr>
            <w:r>
              <w:rPr>
                <w:rFonts w:ascii="Wingdings" w:cs="Wingdings" w:eastAsia="Wingdings" w:hAnsi="Wingdings"/>
                <w:sz w:val="17"/>
                <w:szCs w:val="17"/>
                <w:b w:val="1"/>
                <w:bCs w:val="1"/>
                <w:color w:val="auto"/>
                <w:w w:val="77"/>
              </w:rPr>
              <w:t>x</w:t>
            </w:r>
          </w:p>
        </w:tc>
      </w:tr>
    </w:tbl>
    <w:p>
      <w:pPr>
        <w:spacing w:after="0" w:line="270" w:lineRule="exact"/>
        <w:rPr>
          <w:sz w:val="24"/>
          <w:szCs w:val="24"/>
          <w:color w:val="auto"/>
        </w:rPr>
      </w:pPr>
    </w:p>
    <w:p>
      <w:pPr>
        <w:ind w:right="340"/>
        <w:spacing w:after="0" w:line="269" w:lineRule="auto"/>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714311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311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103505</wp:posOffset>
            </wp:positionV>
            <wp:extent cx="714311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INFORMATION REQUIRED IN THE SECTION 10(a) PROSPECTUS</w:t>
      </w:r>
    </w:p>
    <w:p>
      <w:pPr>
        <w:spacing w:after="0" w:line="13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The information called for in Part I of Form S-8 to be contained in the Section 10(a) prospectus is not being filed with or included in this Registration Statement (by incorporation by reference or otherwise) in accordance with the rules and regulations of the Securities and Exchange Commission (the “SEC”). The documents containing the information specified in Part I of Form S-8 will be delivered to the participants in the equity benefit plans covered by this Registration Statement as specified by Rule 428(b)(1) under the Securities Act of 1933, as amended (the “Securities Act”).</w:t>
      </w:r>
    </w:p>
    <w:p>
      <w:pPr>
        <w:sectPr>
          <w:pgSz w:w="11900" w:h="16838" w:orient="portrait"/>
          <w:cols w:equalWidth="0" w:num="1">
            <w:col w:w="11240"/>
          </w:cols>
          <w:pgMar w:left="320" w:top="131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INFORMATION REQUIRED IN REGISTRATION STATEMENT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Incorporation of Documents by Reference.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documents filed by Cerebras Systems Inc. (the “Registrant”) with the SEC are incorporated by reference into this Registration Statement:</w:t>
      </w:r>
    </w:p>
    <w:p>
      <w:pPr>
        <w:spacing w:after="0" w:line="203" w:lineRule="exact"/>
        <w:rPr>
          <w:sz w:val="20"/>
          <w:szCs w:val="20"/>
          <w:color w:val="auto"/>
        </w:rPr>
      </w:pPr>
    </w:p>
    <w:p>
      <w:pPr>
        <w:ind w:left="820" w:hanging="522"/>
        <w:spacing w:after="0" w:line="269" w:lineRule="auto"/>
        <w:tabs>
          <w:tab w:leader="none" w:pos="817"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Amendment No. 2 to the Registrant’s Registration Statement on Form S-1 filed with the SEC on </w:t>
      </w:r>
      <w:hyperlink r:id="rId10">
        <w:r>
          <w:rPr>
            <w:rFonts w:ascii="Times New Roman" w:cs="Times New Roman" w:eastAsia="Times New Roman" w:hAnsi="Times New Roman"/>
            <w:sz w:val="17"/>
            <w:szCs w:val="17"/>
            <w:u w:val="single" w:color="auto"/>
            <w:color w:val="0000FF"/>
          </w:rPr>
          <w:t>May 11, 2026</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(File No. 333-295145), which contains the Registrant’s audited financial statements for the latest fiscal year for which such statements have been filed;</w:t>
      </w:r>
    </w:p>
    <w:p>
      <w:pPr>
        <w:spacing w:after="0" w:line="109" w:lineRule="exact"/>
        <w:rPr>
          <w:rFonts w:ascii="Times New Roman" w:cs="Times New Roman" w:eastAsia="Times New Roman" w:hAnsi="Times New Roman"/>
          <w:sz w:val="17"/>
          <w:szCs w:val="17"/>
          <w:color w:val="auto"/>
        </w:rPr>
      </w:pPr>
    </w:p>
    <w:p>
      <w:pPr>
        <w:ind w:left="820" w:hanging="522"/>
        <w:spacing w:after="0" w:line="269" w:lineRule="auto"/>
        <w:tabs>
          <w:tab w:leader="none" w:pos="814"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Prospectus to be filed on or about May 14, 2026 pursuant to Rule 424(b) under the Securities Act, relating to the Registration Statement on Form S-1, as amended (File No. 333-295145); and</w:t>
      </w:r>
    </w:p>
    <w:p>
      <w:pPr>
        <w:spacing w:after="0" w:line="109" w:lineRule="exact"/>
        <w:rPr>
          <w:rFonts w:ascii="Times New Roman" w:cs="Times New Roman" w:eastAsia="Times New Roman" w:hAnsi="Times New Roman"/>
          <w:sz w:val="17"/>
          <w:szCs w:val="17"/>
          <w:color w:val="auto"/>
        </w:rPr>
      </w:pPr>
    </w:p>
    <w:p>
      <w:pPr>
        <w:jc w:val="both"/>
        <w:ind w:left="820" w:hanging="522"/>
        <w:spacing w:after="0" w:line="256" w:lineRule="auto"/>
        <w:tabs>
          <w:tab w:leader="none" w:pos="817"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description of the Registrant’s Class A common stock contained in the Registrant’s Registration Statement on Form 8-A (File No. 001-43284), filed by the Registrant with the SEC under Section 12(b) of the Exchange Act on </w:t>
      </w:r>
      <w:hyperlink r:id="rId11">
        <w:r>
          <w:rPr>
            <w:rFonts w:ascii="Times New Roman" w:cs="Times New Roman" w:eastAsia="Times New Roman" w:hAnsi="Times New Roman"/>
            <w:sz w:val="17"/>
            <w:szCs w:val="17"/>
            <w:u w:val="single" w:color="auto"/>
            <w:color w:val="0000FF"/>
          </w:rPr>
          <w:t>May 11, 2026</w:t>
        </w:r>
      </w:hyperlink>
      <w:r>
        <w:rPr>
          <w:rFonts w:ascii="Times New Roman" w:cs="Times New Roman" w:eastAsia="Times New Roman" w:hAnsi="Times New Roman"/>
          <w:sz w:val="17"/>
          <w:szCs w:val="17"/>
          <w:color w:val="auto"/>
        </w:rPr>
        <w:t>, including any amendment or report filed for the purpose of updating such description.</w:t>
      </w:r>
    </w:p>
    <w:p>
      <w:pPr>
        <w:spacing w:after="0" w:line="121" w:lineRule="exact"/>
        <w:rPr>
          <w:rFonts w:ascii="Times New Roman" w:cs="Times New Roman" w:eastAsia="Times New Roman" w:hAnsi="Times New Roman"/>
          <w:sz w:val="17"/>
          <w:szCs w:val="17"/>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All reports and documents filed by the Registrant pursuant to Sections 13(a), 13(c), 14, and 15(d) of the Securities Exchange Act of 1934, as amended (the “Exchange Act”) (other than Current Reports furnished under Item 2.02 or Item 7.01 of Form 8-K and exhibits furnished on such form that relate to such items)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part hereof from the date of filing of such reports and documents. 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78"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Description of Securities.</w:t>
      </w:r>
    </w:p>
    <w:p>
      <w:pPr>
        <w:spacing w:after="0" w:line="107" w:lineRule="exact"/>
        <w:rPr>
          <w:rFonts w:ascii="Times New Roman" w:cs="Times New Roman" w:eastAsia="Times New Roman" w:hAnsi="Times New Roman"/>
          <w:sz w:val="17"/>
          <w:szCs w:val="17"/>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See the description of the Registrant’s Class A common stock and Class B common stock contained in the Registrant’s Registration Statement on Form S-1, as amended (File No. 333-295145).</w:t>
      </w:r>
    </w:p>
    <w:p>
      <w:pPr>
        <w:spacing w:after="0" w:line="56"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Interests of Named Experts and Counsel.</w:t>
      </w:r>
    </w:p>
    <w:p>
      <w:pPr>
        <w:spacing w:after="0" w:line="107"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99"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Indemnification of Directors and Officers.</w:t>
      </w:r>
    </w:p>
    <w:p>
      <w:pPr>
        <w:spacing w:after="0" w:line="107" w:lineRule="exact"/>
        <w:rPr>
          <w:rFonts w:ascii="Times New Roman" w:cs="Times New Roman" w:eastAsia="Times New Roman" w:hAnsi="Times New Roman"/>
          <w:sz w:val="17"/>
          <w:szCs w:val="17"/>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The Registrant is governed by the General Corporation Law of the State of Delaware (the “Delaware General Corporation Law”). Section 145 of the Delaware General Corporation Law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to the Registrant. The Delaware General Corporation Law provides that Section 145 is not exclusive of other rights to which those seeking indemnification may be entitled under any bylaw, agreement, vote of stockholders or disinterested directors, or otherwise. Article 8 of the Registrant’s amended and restated certificate of incorporation, which will become effective immediately prior to the completion of the Registrant’s initial public offering, provides for indemnification by the Registrant of its directors, officers, and employees to the fullest extent permitted by the Delaware General Corporation Law. The Registrant has entered into or intends to enter into indemnification agreements with each of its current directors, executive officers, and certain other officers to provide these directors and officers additional</w:t>
      </w:r>
    </w:p>
    <w:p>
      <w:pPr>
        <w:sectPr>
          <w:pgSz w:w="11900" w:h="16838" w:orient="portrait"/>
          <w:cols w:equalWidth="0" w:num="1">
            <w:col w:w="11240"/>
          </w:cols>
          <w:pgMar w:left="320" w:top="1314" w:right="339" w:bottom="1440" w:gutter="0" w:footer="0" w:header="0"/>
        </w:sectPr>
      </w:pPr>
    </w:p>
    <w:bookmarkStart w:id="3" w:name="page4"/>
    <w:bookmarkEnd w:id="3"/>
    <w:p>
      <w:pPr>
        <w:jc w:val="both"/>
        <w:spacing w:after="0" w:line="252" w:lineRule="auto"/>
        <w:rPr>
          <w:sz w:val="20"/>
          <w:szCs w:val="20"/>
          <w:color w:val="auto"/>
        </w:rPr>
      </w:pPr>
      <w:r>
        <w:rPr>
          <w:rFonts w:ascii="Times New Roman" w:cs="Times New Roman" w:eastAsia="Times New Roman" w:hAnsi="Times New Roman"/>
          <w:sz w:val="17"/>
          <w:szCs w:val="17"/>
          <w:color w:val="auto"/>
        </w:rPr>
        <w:t>contractual assurances regarding the scope of the indemnification set forth in the Registrant’s amended and restated certificate of incorporation and amended and restated bylaws, which will become effective immediately prior to the completion of the Registrant’s initial public offering, and to provide additional procedural protections. As of the date of this Registration Statement, there is no pending litigation or proceeding involving a director or executive officer of the registrant for which indemnification is sought.</w:t>
      </w:r>
    </w:p>
    <w:p>
      <w:pPr>
        <w:spacing w:after="0" w:line="12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Section 102(b)(7) of the Delaware General Corporation Law permits a corporation to provide in its certificate of incorporation that a director or officer of the corporation shall not be personally liable to the corporation or its stockholders for monetary damages for breach of fiduciary duty as a director or officer, except for liability (i) for any breach of the director’s or officer’s duty of loyalty to the corporation or its stockholders, (ii) for acts or omissions not in good faith or which involve intentional misconduct or a knowing violation of law, (iii) in the case of directors, for unlawful payments of dividends or unlawful stock repurchases, redemptions, or other distributions, or (iv) for any transaction from which the director or officer derived an improper personal benefit, provided that officers may not be indemnified for actions by or in the right of the corporation. The Registrant’s amended and restated certificate of incorporation, which will become effective immediately prior to the completion of the Registrant’s initial public offering, provides for such limitation of liability.</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Registrant maintains standard policies of insurance under which coverage is provided (a) to its directors and officers against loss rising from claims made by reason of breach of duty or other wrongful act and (b) to the Registrant with respect to payments that may be made by the Registrant to such officers and directors pursuant to the above indemnification provision or otherwise as a matter of law.</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also the Undertakings set forth in the response to Item 9 herein.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 Exemption From Registration Claimed.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240"/>
          </w:cols>
          <w:pgMar w:left="320" w:top="131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0"/>
        </w:trPr>
        <w:tc>
          <w:tcPr>
            <w:tcW w:w="11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w w:val="96"/>
              </w:rPr>
              <w:t>Item 8. Exhibits.</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60"/>
        </w:trPr>
        <w:tc>
          <w:tcPr>
            <w:tcW w:w="1180" w:type="dxa"/>
            <w:vAlign w:val="bottom"/>
            <w:gridSpan w:val="3"/>
          </w:tcPr>
          <w:p>
            <w:pPr>
              <w:ind w:left="280"/>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gridSpan w:val="23"/>
            <w:vMerge w:val="restart"/>
          </w:tcPr>
          <w:p>
            <w:pPr>
              <w:ind w:left="500"/>
              <w:spacing w:after="0"/>
              <w:rPr>
                <w:sz w:val="20"/>
                <w:szCs w:val="20"/>
                <w:color w:val="auto"/>
              </w:rPr>
            </w:pPr>
            <w:r>
              <w:rPr>
                <w:rFonts w:ascii="Times New Roman" w:cs="Times New Roman" w:eastAsia="Times New Roman" w:hAnsi="Times New Roman"/>
                <w:sz w:val="17"/>
                <w:szCs w:val="17"/>
                <w:b w:val="1"/>
                <w:bCs w:val="1"/>
                <w:color w:val="auto"/>
              </w:rPr>
              <w:t>Exhibit Description</w:t>
            </w:r>
          </w:p>
        </w:tc>
        <w:tc>
          <w:tcPr>
            <w:tcW w:w="0" w:type="dxa"/>
            <w:vAlign w:val="bottom"/>
          </w:tcPr>
          <w:p>
            <w:pPr>
              <w:spacing w:after="0"/>
              <w:rPr>
                <w:sz w:val="1"/>
                <w:szCs w:val="1"/>
                <w:color w:val="auto"/>
              </w:rPr>
            </w:pPr>
          </w:p>
        </w:tc>
      </w:tr>
      <w:tr>
        <w:trPr>
          <w:trHeight w:val="224"/>
        </w:trPr>
        <w:tc>
          <w:tcPr>
            <w:tcW w:w="1180" w:type="dxa"/>
            <w:vAlign w:val="bottom"/>
            <w:gridSpan w:val="3"/>
          </w:tcPr>
          <w:p>
            <w:pPr>
              <w:ind w:left="240"/>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gridSpan w:val="2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1060" w:type="dxa"/>
            <w:vAlign w:val="bottom"/>
            <w:tcBorders>
              <w:top w:val="single" w:sz="8" w:color="auto"/>
            </w:tcBorders>
          </w:tcPr>
          <w:p>
            <w:pPr>
              <w:ind w:left="20"/>
              <w:spacing w:after="0" w:line="179" w:lineRule="exact"/>
              <w:rPr>
                <w:sz w:val="20"/>
                <w:szCs w:val="20"/>
                <w:color w:val="auto"/>
              </w:rPr>
            </w:pPr>
            <w:r>
              <w:rPr>
                <w:rFonts w:ascii="Times New Roman" w:cs="Times New Roman" w:eastAsia="Times New Roman" w:hAnsi="Times New Roman"/>
                <w:sz w:val="17"/>
                <w:szCs w:val="17"/>
                <w:color w:val="auto"/>
              </w:rPr>
              <w:t>4.1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480" w:type="dxa"/>
            <w:vAlign w:val="bottom"/>
            <w:tcBorders>
              <w:top w:val="single" w:sz="8" w:color="auto"/>
              <w:bottom w:val="single" w:sz="8" w:color="0000FF"/>
            </w:tcBorders>
            <w:gridSpan w:val="17"/>
          </w:tcPr>
          <w:p>
            <w:pPr>
              <w:spacing w:after="0" w:line="179" w:lineRule="exact"/>
              <w:rPr>
                <w:rFonts w:ascii="Times New Roman" w:cs="Times New Roman" w:eastAsia="Times New Roman" w:hAnsi="Times New Roman"/>
                <w:sz w:val="17"/>
                <w:szCs w:val="17"/>
                <w:color w:val="0000FF"/>
                <w:w w:val="96"/>
              </w:rPr>
            </w:pPr>
            <w:hyperlink r:id="rId12">
              <w:r>
                <w:rPr>
                  <w:rFonts w:ascii="Times New Roman" w:cs="Times New Roman" w:eastAsia="Times New Roman" w:hAnsi="Times New Roman"/>
                  <w:sz w:val="17"/>
                  <w:szCs w:val="17"/>
                  <w:color w:val="0000FF"/>
                  <w:w w:val="96"/>
                </w:rPr>
                <w:t>Amended and Restated Certificate of Incorporation, as amended, as</w:t>
              </w:r>
            </w:hyperlink>
          </w:p>
        </w:tc>
        <w:tc>
          <w:tcPr>
            <w:tcW w:w="300" w:type="dxa"/>
            <w:vAlign w:val="bottom"/>
            <w:tcBorders>
              <w:top w:val="single" w:sz="8" w:color="auto"/>
            </w:tcBorders>
            <w:gridSpan w:val="10"/>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Borders>
              <w:bottom w:val="single" w:sz="8" w:color="0000FF"/>
            </w:tcBorders>
            <w:gridSpan w:val="4"/>
          </w:tcPr>
          <w:p>
            <w:pPr>
              <w:spacing w:after="0" w:line="179" w:lineRule="exact"/>
              <w:rPr>
                <w:rFonts w:ascii="Times New Roman" w:cs="Times New Roman" w:eastAsia="Times New Roman" w:hAnsi="Times New Roman"/>
                <w:sz w:val="17"/>
                <w:szCs w:val="17"/>
                <w:color w:val="0000FF"/>
                <w:w w:val="95"/>
              </w:rPr>
            </w:pPr>
            <w:hyperlink r:id="rId12">
              <w:r>
                <w:rPr>
                  <w:rFonts w:ascii="Times New Roman" w:cs="Times New Roman" w:eastAsia="Times New Roman" w:hAnsi="Times New Roman"/>
                  <w:sz w:val="17"/>
                  <w:szCs w:val="17"/>
                  <w:color w:val="0000FF"/>
                  <w:w w:val="95"/>
                </w:rPr>
                <w:t>currently in effect</w:t>
              </w:r>
            </w:hyperlink>
          </w:p>
        </w:tc>
        <w:tc>
          <w:tcPr>
            <w:tcW w:w="3600" w:type="dxa"/>
            <w:vAlign w:val="bottom"/>
            <w:gridSpan w:val="23"/>
          </w:tcPr>
          <w:p>
            <w:pPr>
              <w:spacing w:after="0"/>
              <w:rPr>
                <w:sz w:val="15"/>
                <w:szCs w:val="15"/>
                <w:color w:val="auto"/>
              </w:rPr>
            </w:pPr>
          </w:p>
        </w:tc>
        <w:tc>
          <w:tcPr>
            <w:tcW w:w="0" w:type="dxa"/>
            <w:vAlign w:val="bottom"/>
          </w:tcPr>
          <w:p>
            <w:pPr>
              <w:spacing w:after="0"/>
              <w:rPr>
                <w:sz w:val="1"/>
                <w:szCs w:val="1"/>
                <w:color w:val="auto"/>
              </w:rPr>
            </w:pPr>
          </w:p>
        </w:tc>
      </w:tr>
      <w:tr>
        <w:trPr>
          <w:trHeight w:val="279"/>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80" w:type="dxa"/>
            <w:vAlign w:val="bottom"/>
            <w:tcBorders>
              <w:bottom w:val="single" w:sz="8" w:color="0000FF"/>
            </w:tcBorders>
            <w:gridSpan w:val="21"/>
          </w:tcPr>
          <w:p>
            <w:pPr>
              <w:spacing w:after="0"/>
              <w:rPr>
                <w:rFonts w:ascii="Times New Roman" w:cs="Times New Roman" w:eastAsia="Times New Roman" w:hAnsi="Times New Roman"/>
                <w:sz w:val="17"/>
                <w:szCs w:val="17"/>
                <w:color w:val="0000FF"/>
                <w:w w:val="97"/>
              </w:rPr>
            </w:pPr>
            <w:hyperlink r:id="rId13">
              <w:r>
                <w:rPr>
                  <w:rFonts w:ascii="Times New Roman" w:cs="Times New Roman" w:eastAsia="Times New Roman" w:hAnsi="Times New Roman"/>
                  <w:sz w:val="17"/>
                  <w:szCs w:val="17"/>
                  <w:color w:val="0000FF"/>
                  <w:w w:val="97"/>
                </w:rPr>
                <w:t>Form of Amended and Restated Certificate of Incorporation, to be in</w:t>
              </w:r>
            </w:hyperlink>
          </w:p>
        </w:tc>
        <w:tc>
          <w:tcPr>
            <w:tcW w:w="2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80" w:type="dxa"/>
            <w:vAlign w:val="bottom"/>
            <w:gridSpan w:val="27"/>
          </w:tcPr>
          <w:p>
            <w:pPr>
              <w:spacing w:after="0" w:line="179" w:lineRule="exact"/>
              <w:rPr>
                <w:rFonts w:ascii="Times New Roman" w:cs="Times New Roman" w:eastAsia="Times New Roman" w:hAnsi="Times New Roman"/>
                <w:sz w:val="17"/>
                <w:szCs w:val="17"/>
                <w:color w:val="0000FF"/>
              </w:rPr>
            </w:pPr>
            <w:hyperlink r:id="rId13">
              <w:r>
                <w:rPr>
                  <w:rFonts w:ascii="Times New Roman" w:cs="Times New Roman" w:eastAsia="Times New Roman" w:hAnsi="Times New Roman"/>
                  <w:sz w:val="17"/>
                  <w:szCs w:val="17"/>
                  <w:color w:val="0000FF"/>
                </w:rPr>
                <w:t>effect immediately prior to the completion of the Registrant’s initial</w:t>
              </w:r>
            </w:hyperlink>
          </w:p>
        </w:tc>
        <w:tc>
          <w:tcPr>
            <w:tcW w:w="0" w:type="dxa"/>
            <w:vAlign w:val="bottom"/>
          </w:tcPr>
          <w:p>
            <w:pPr>
              <w:spacing w:after="0"/>
              <w:rPr>
                <w:sz w:val="1"/>
                <w:szCs w:val="1"/>
                <w:color w:val="auto"/>
              </w:rPr>
            </w:pPr>
          </w:p>
        </w:tc>
      </w:tr>
      <w:tr>
        <w:trPr>
          <w:trHeight w:val="179"/>
        </w:trPr>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80" w:type="dxa"/>
            <w:vAlign w:val="bottom"/>
            <w:tcBorders>
              <w:top w:val="single" w:sz="8" w:color="0000FF"/>
            </w:tcBorders>
            <w:gridSpan w:val="17"/>
          </w:tcPr>
          <w:p>
            <w:pPr>
              <w:spacing w:after="0" w:line="179" w:lineRule="exact"/>
              <w:rPr>
                <w:rFonts w:ascii="Times New Roman" w:cs="Times New Roman" w:eastAsia="Times New Roman" w:hAnsi="Times New Roman"/>
                <w:sz w:val="17"/>
                <w:szCs w:val="17"/>
                <w:color w:val="0000FF"/>
              </w:rPr>
            </w:pPr>
            <w:hyperlink r:id="rId13">
              <w:r>
                <w:rPr>
                  <w:rFonts w:ascii="Times New Roman" w:cs="Times New Roman" w:eastAsia="Times New Roman" w:hAnsi="Times New Roman"/>
                  <w:sz w:val="17"/>
                  <w:szCs w:val="17"/>
                  <w:color w:val="0000FF"/>
                </w:rPr>
                <w:t>public offering</w:t>
              </w:r>
            </w:hyperlink>
          </w:p>
        </w:tc>
        <w:tc>
          <w:tcPr>
            <w:tcW w:w="300" w:type="dxa"/>
            <w:vAlign w:val="bottom"/>
            <w:gridSpan w:val="10"/>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10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40" w:type="dxa"/>
            <w:vAlign w:val="bottom"/>
            <w:tcBorders>
              <w:bottom w:val="single" w:sz="8" w:color="0000FF"/>
            </w:tcBorders>
            <w:gridSpan w:val="5"/>
          </w:tcPr>
          <w:p>
            <w:pPr>
              <w:spacing w:after="0"/>
              <w:rPr>
                <w:rFonts w:ascii="Times New Roman" w:cs="Times New Roman" w:eastAsia="Times New Roman" w:hAnsi="Times New Roman"/>
                <w:sz w:val="17"/>
                <w:szCs w:val="17"/>
                <w:color w:val="0000FF"/>
                <w:w w:val="96"/>
              </w:rPr>
            </w:pPr>
            <w:hyperlink r:id="rId14">
              <w:r>
                <w:rPr>
                  <w:rFonts w:ascii="Times New Roman" w:cs="Times New Roman" w:eastAsia="Times New Roman" w:hAnsi="Times New Roman"/>
                  <w:sz w:val="17"/>
                  <w:szCs w:val="17"/>
                  <w:color w:val="0000FF"/>
                  <w:w w:val="96"/>
                </w:rPr>
                <w:t>Bylaws, as currently in effect</w:t>
              </w:r>
            </w:hyperlink>
          </w:p>
        </w:tc>
        <w:tc>
          <w:tcPr>
            <w:tcW w:w="2840" w:type="dxa"/>
            <w:vAlign w:val="bottom"/>
            <w:gridSpan w:val="22"/>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40" w:type="dxa"/>
            <w:vAlign w:val="bottom"/>
            <w:tcBorders>
              <w:bottom w:val="single" w:sz="8" w:color="0000FF"/>
            </w:tcBorders>
            <w:gridSpan w:val="19"/>
          </w:tcPr>
          <w:p>
            <w:pPr>
              <w:spacing w:after="0"/>
              <w:rPr>
                <w:rFonts w:ascii="Times New Roman" w:cs="Times New Roman" w:eastAsia="Times New Roman" w:hAnsi="Times New Roman"/>
                <w:sz w:val="17"/>
                <w:szCs w:val="17"/>
                <w:color w:val="0000FF"/>
                <w:w w:val="97"/>
              </w:rPr>
            </w:pPr>
            <w:hyperlink r:id="rId15">
              <w:r>
                <w:rPr>
                  <w:rFonts w:ascii="Times New Roman" w:cs="Times New Roman" w:eastAsia="Times New Roman" w:hAnsi="Times New Roman"/>
                  <w:sz w:val="17"/>
                  <w:szCs w:val="17"/>
                  <w:color w:val="0000FF"/>
                  <w:w w:val="97"/>
                </w:rPr>
                <w:t>Form of Amended and Restated Bylaws, to be in effect immediately</w:t>
              </w:r>
            </w:hyperlink>
          </w:p>
        </w:tc>
        <w:tc>
          <w:tcPr>
            <w:tcW w:w="2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40" w:type="dxa"/>
            <w:vAlign w:val="bottom"/>
            <w:tcBorders>
              <w:bottom w:val="single" w:sz="8" w:color="0000FF"/>
            </w:tcBorders>
            <w:gridSpan w:val="15"/>
          </w:tcPr>
          <w:p>
            <w:pPr>
              <w:spacing w:after="0" w:line="179" w:lineRule="exact"/>
              <w:rPr>
                <w:rFonts w:ascii="Times New Roman" w:cs="Times New Roman" w:eastAsia="Times New Roman" w:hAnsi="Times New Roman"/>
                <w:sz w:val="17"/>
                <w:szCs w:val="17"/>
                <w:color w:val="0000FF"/>
                <w:w w:val="96"/>
              </w:rPr>
            </w:pPr>
            <w:hyperlink r:id="rId15">
              <w:r>
                <w:rPr>
                  <w:rFonts w:ascii="Times New Roman" w:cs="Times New Roman" w:eastAsia="Times New Roman" w:hAnsi="Times New Roman"/>
                  <w:sz w:val="17"/>
                  <w:szCs w:val="17"/>
                  <w:color w:val="0000FF"/>
                  <w:w w:val="96"/>
                </w:rPr>
                <w:t>prior to the completion of the Registrant’s initial public offering</w:t>
              </w:r>
            </w:hyperlink>
          </w:p>
        </w:tc>
        <w:tc>
          <w:tcPr>
            <w:tcW w:w="540" w:type="dxa"/>
            <w:vAlign w:val="bottom"/>
            <w:gridSpan w:val="12"/>
          </w:tcPr>
          <w:p>
            <w:pPr>
              <w:spacing w:after="0"/>
              <w:rPr>
                <w:sz w:val="15"/>
                <w:szCs w:val="15"/>
                <w:color w:val="auto"/>
              </w:rPr>
            </w:pPr>
          </w:p>
        </w:tc>
        <w:tc>
          <w:tcPr>
            <w:tcW w:w="0" w:type="dxa"/>
            <w:vAlign w:val="bottom"/>
          </w:tcPr>
          <w:p>
            <w:pPr>
              <w:spacing w:after="0"/>
              <w:rPr>
                <w:sz w:val="1"/>
                <w:szCs w:val="1"/>
                <w:color w:val="auto"/>
              </w:rPr>
            </w:pPr>
          </w:p>
        </w:tc>
      </w:tr>
      <w:tr>
        <w:trPr>
          <w:trHeight w:val="279"/>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20" w:type="dxa"/>
            <w:vAlign w:val="bottom"/>
            <w:tcBorders>
              <w:bottom w:val="single" w:sz="8" w:color="0000FF"/>
            </w:tcBorders>
            <w:gridSpan w:val="10"/>
          </w:tcPr>
          <w:p>
            <w:pPr>
              <w:spacing w:after="0"/>
              <w:rPr>
                <w:rFonts w:ascii="Times New Roman" w:cs="Times New Roman" w:eastAsia="Times New Roman" w:hAnsi="Times New Roman"/>
                <w:sz w:val="17"/>
                <w:szCs w:val="17"/>
                <w:color w:val="0000FF"/>
                <w:w w:val="96"/>
              </w:rPr>
            </w:pPr>
            <w:hyperlink r:id="rId16">
              <w:r>
                <w:rPr>
                  <w:rFonts w:ascii="Times New Roman" w:cs="Times New Roman" w:eastAsia="Times New Roman" w:hAnsi="Times New Roman"/>
                  <w:sz w:val="17"/>
                  <w:szCs w:val="17"/>
                  <w:color w:val="0000FF"/>
                  <w:w w:val="96"/>
                </w:rPr>
                <w:t>Form of Class A Common Stock Certificate</w:t>
              </w:r>
            </w:hyperlink>
          </w:p>
        </w:tc>
        <w:tc>
          <w:tcPr>
            <w:tcW w:w="186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80" w:type="dxa"/>
            <w:vAlign w:val="bottom"/>
            <w:gridSpan w:val="27"/>
          </w:tcPr>
          <w:p>
            <w:pPr>
              <w:spacing w:after="0"/>
              <w:rPr>
                <w:sz w:val="20"/>
                <w:szCs w:val="20"/>
                <w:color w:val="auto"/>
              </w:rPr>
            </w:pPr>
            <w:r>
              <w:rPr>
                <w:rFonts w:ascii="Times New Roman" w:cs="Times New Roman" w:eastAsia="Times New Roman" w:hAnsi="Times New Roman"/>
                <w:sz w:val="17"/>
                <w:szCs w:val="17"/>
                <w:color w:val="0000FF"/>
              </w:rPr>
              <w:t>Form of Class B Common Stock Certificate</w:t>
            </w:r>
          </w:p>
        </w:tc>
        <w:tc>
          <w:tcPr>
            <w:tcW w:w="0" w:type="dxa"/>
            <w:vAlign w:val="bottom"/>
          </w:tcPr>
          <w:p>
            <w:pPr>
              <w:spacing w:after="0"/>
              <w:rPr>
                <w:sz w:val="1"/>
                <w:szCs w:val="1"/>
                <w:color w:val="auto"/>
              </w:rPr>
            </w:pPr>
          </w:p>
        </w:tc>
      </w:tr>
      <w:tr>
        <w:trPr>
          <w:trHeight w:val="279"/>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5.1*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w w:val="96"/>
              </w:rPr>
              <w:t>Opinion of Latham &amp; Watkins LLP</w:t>
            </w:r>
          </w:p>
        </w:tc>
        <w:tc>
          <w:tcPr>
            <w:tcW w:w="540" w:type="dxa"/>
            <w:vAlign w:val="bottom"/>
            <w:tcBorders>
              <w:top w:val="single" w:sz="8" w:color="0000FF"/>
            </w:tcBorders>
            <w:gridSpan w:val="2"/>
          </w:tcPr>
          <w:p>
            <w:pPr>
              <w:spacing w:after="0"/>
              <w:rPr>
                <w:sz w:val="24"/>
                <w:szCs w:val="24"/>
                <w:color w:val="auto"/>
              </w:rPr>
            </w:pPr>
          </w:p>
        </w:tc>
        <w:tc>
          <w:tcPr>
            <w:tcW w:w="188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80" w:type="dxa"/>
            <w:vAlign w:val="bottom"/>
            <w:gridSpan w:val="27"/>
          </w:tcPr>
          <w:p>
            <w:pPr>
              <w:spacing w:after="0"/>
              <w:rPr>
                <w:sz w:val="20"/>
                <w:szCs w:val="20"/>
                <w:color w:val="auto"/>
              </w:rPr>
            </w:pPr>
            <w:r>
              <w:rPr>
                <w:rFonts w:ascii="Times New Roman" w:cs="Times New Roman" w:eastAsia="Times New Roman" w:hAnsi="Times New Roman"/>
                <w:sz w:val="17"/>
                <w:szCs w:val="17"/>
                <w:color w:val="0000FF"/>
              </w:rPr>
              <w:t>Consent of Latham &amp; Watkins LLP (included in Exhibit 5.1)</w:t>
            </w:r>
          </w:p>
        </w:tc>
        <w:tc>
          <w:tcPr>
            <w:tcW w:w="0" w:type="dxa"/>
            <w:vAlign w:val="bottom"/>
          </w:tcPr>
          <w:p>
            <w:pPr>
              <w:spacing w:after="0"/>
              <w:rPr>
                <w:sz w:val="1"/>
                <w:szCs w:val="1"/>
                <w:color w:val="auto"/>
              </w:rPr>
            </w:pPr>
          </w:p>
        </w:tc>
      </w:tr>
      <w:tr>
        <w:trPr>
          <w:trHeight w:val="20"/>
        </w:trPr>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23.2*</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10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80" w:type="dxa"/>
            <w:vAlign w:val="bottom"/>
            <w:gridSpan w:val="27"/>
          </w:tcPr>
          <w:p>
            <w:pPr>
              <w:spacing w:after="0"/>
              <w:rPr>
                <w:sz w:val="20"/>
                <w:szCs w:val="20"/>
                <w:color w:val="auto"/>
              </w:rPr>
            </w:pPr>
            <w:r>
              <w:rPr>
                <w:rFonts w:ascii="Times New Roman" w:cs="Times New Roman" w:eastAsia="Times New Roman" w:hAnsi="Times New Roman"/>
                <w:sz w:val="17"/>
                <w:szCs w:val="17"/>
                <w:color w:val="0000FF"/>
                <w:w w:val="99"/>
              </w:rPr>
              <w:t>Consent of BDO USA, P.C., independent registered public accounting</w:t>
            </w:r>
          </w:p>
        </w:tc>
        <w:tc>
          <w:tcPr>
            <w:tcW w:w="0" w:type="dxa"/>
            <w:vAlign w:val="bottom"/>
          </w:tcPr>
          <w:p>
            <w:pPr>
              <w:spacing w:after="0"/>
              <w:rPr>
                <w:sz w:val="1"/>
                <w:szCs w:val="1"/>
                <w:color w:val="auto"/>
              </w:rPr>
            </w:pPr>
          </w:p>
        </w:tc>
      </w:tr>
      <w:tr>
        <w:trPr>
          <w:trHeight w:val="179"/>
        </w:trPr>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Borders>
              <w:top w:val="single" w:sz="8" w:color="0000FF"/>
              <w:bottom w:val="single" w:sz="8" w:color="0000FF"/>
            </w:tcBorders>
          </w:tcPr>
          <w:p>
            <w:pPr>
              <w:spacing w:after="0" w:line="179" w:lineRule="exact"/>
              <w:rPr>
                <w:sz w:val="20"/>
                <w:szCs w:val="20"/>
                <w:color w:val="auto"/>
              </w:rPr>
            </w:pPr>
            <w:r>
              <w:rPr>
                <w:rFonts w:ascii="Times New Roman" w:cs="Times New Roman" w:eastAsia="Times New Roman" w:hAnsi="Times New Roman"/>
                <w:sz w:val="17"/>
                <w:szCs w:val="17"/>
                <w:color w:val="0000FF"/>
                <w:w w:val="88"/>
              </w:rPr>
              <w:t>firm</w:t>
            </w:r>
          </w:p>
        </w:tc>
        <w:tc>
          <w:tcPr>
            <w:tcW w:w="4360" w:type="dxa"/>
            <w:vAlign w:val="bottom"/>
            <w:tcBorders>
              <w:top w:val="single" w:sz="8" w:color="0000FF"/>
            </w:tcBorders>
            <w:gridSpan w:val="22"/>
          </w:tcPr>
          <w:p>
            <w:pPr>
              <w:spacing w:after="0"/>
              <w:rPr>
                <w:sz w:val="15"/>
                <w:szCs w:val="15"/>
                <w:color w:val="auto"/>
              </w:rPr>
            </w:pPr>
          </w:p>
        </w:tc>
        <w:tc>
          <w:tcPr>
            <w:tcW w:w="14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79"/>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23.3*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0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7"/>
                <w:szCs w:val="17"/>
                <w:color w:val="0000FF"/>
                <w:w w:val="96"/>
              </w:rPr>
              <w:t>Consent of KPMG LLP, independent registered public accounting firm</w:t>
            </w:r>
          </w:p>
        </w:tc>
        <w:tc>
          <w:tcPr>
            <w:tcW w:w="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2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7"/>
                <w:szCs w:val="17"/>
                <w:color w:val="0000FF"/>
                <w:w w:val="97"/>
              </w:rPr>
              <w:t>Power of Attorney (included on the signature page to the Registration</w:t>
            </w:r>
          </w:p>
        </w:tc>
        <w:tc>
          <w:tcPr>
            <w:tcW w:w="1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Borders>
              <w:bottom w:val="single" w:sz="8" w:color="0000FF"/>
            </w:tcBorders>
            <w:gridSpan w:val="2"/>
          </w:tcPr>
          <w:p>
            <w:pPr>
              <w:spacing w:after="0" w:line="179" w:lineRule="exact"/>
              <w:rPr>
                <w:sz w:val="20"/>
                <w:szCs w:val="20"/>
                <w:color w:val="auto"/>
              </w:rPr>
            </w:pPr>
            <w:r>
              <w:rPr>
                <w:rFonts w:ascii="Times New Roman" w:cs="Times New Roman" w:eastAsia="Times New Roman" w:hAnsi="Times New Roman"/>
                <w:sz w:val="17"/>
                <w:szCs w:val="17"/>
                <w:color w:val="0000FF"/>
                <w:w w:val="94"/>
              </w:rPr>
              <w:t>Statement)</w:t>
            </w:r>
          </w:p>
        </w:tc>
        <w:tc>
          <w:tcPr>
            <w:tcW w:w="4060" w:type="dxa"/>
            <w:vAlign w:val="bottom"/>
            <w:gridSpan w:val="25"/>
          </w:tcPr>
          <w:p>
            <w:pPr>
              <w:spacing w:after="0"/>
              <w:rPr>
                <w:sz w:val="15"/>
                <w:szCs w:val="15"/>
                <w:color w:val="auto"/>
              </w:rPr>
            </w:pPr>
          </w:p>
        </w:tc>
        <w:tc>
          <w:tcPr>
            <w:tcW w:w="0" w:type="dxa"/>
            <w:vAlign w:val="bottom"/>
          </w:tcPr>
          <w:p>
            <w:pPr>
              <w:spacing w:after="0"/>
              <w:rPr>
                <w:sz w:val="1"/>
                <w:szCs w:val="1"/>
                <w:color w:val="auto"/>
              </w:rPr>
            </w:pPr>
          </w:p>
        </w:tc>
      </w:tr>
      <w:tr>
        <w:trPr>
          <w:trHeight w:val="279"/>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99.1#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80" w:type="dxa"/>
            <w:vAlign w:val="bottom"/>
            <w:gridSpan w:val="27"/>
          </w:tcPr>
          <w:p>
            <w:pPr>
              <w:spacing w:after="0"/>
              <w:rPr>
                <w:rFonts w:ascii="Times New Roman" w:cs="Times New Roman" w:eastAsia="Times New Roman" w:hAnsi="Times New Roman"/>
                <w:sz w:val="17"/>
                <w:szCs w:val="17"/>
                <w:color w:val="0000FF"/>
              </w:rPr>
            </w:pPr>
            <w:hyperlink r:id="rId17">
              <w:r>
                <w:rPr>
                  <w:rFonts w:ascii="Times New Roman" w:cs="Times New Roman" w:eastAsia="Times New Roman" w:hAnsi="Times New Roman"/>
                  <w:sz w:val="17"/>
                  <w:szCs w:val="17"/>
                  <w:color w:val="0000FF"/>
                </w:rPr>
                <w:t>Cerebras Systems Inc. 2016 Equity Incentive Plan, as amended</w:t>
              </w:r>
            </w:hyperlink>
          </w:p>
        </w:tc>
        <w:tc>
          <w:tcPr>
            <w:tcW w:w="0" w:type="dxa"/>
            <w:vAlign w:val="bottom"/>
          </w:tcPr>
          <w:p>
            <w:pPr>
              <w:spacing w:after="0"/>
              <w:rPr>
                <w:sz w:val="1"/>
                <w:szCs w:val="1"/>
                <w:color w:val="auto"/>
              </w:rPr>
            </w:pPr>
          </w:p>
        </w:tc>
      </w:tr>
      <w:tr>
        <w:trPr>
          <w:trHeight w:val="20"/>
        </w:trPr>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99.2#</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6"/>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10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20" w:type="dxa"/>
            <w:vAlign w:val="bottom"/>
            <w:tcBorders>
              <w:bottom w:val="single" w:sz="8" w:color="0000FF"/>
            </w:tcBorders>
            <w:gridSpan w:val="18"/>
          </w:tcPr>
          <w:p>
            <w:pPr>
              <w:spacing w:after="0"/>
              <w:rPr>
                <w:rFonts w:ascii="Times New Roman" w:cs="Times New Roman" w:eastAsia="Times New Roman" w:hAnsi="Times New Roman"/>
                <w:sz w:val="17"/>
                <w:szCs w:val="17"/>
                <w:color w:val="0000FF"/>
                <w:w w:val="97"/>
              </w:rPr>
            </w:pPr>
            <w:hyperlink r:id="rId18">
              <w:r>
                <w:rPr>
                  <w:rFonts w:ascii="Times New Roman" w:cs="Times New Roman" w:eastAsia="Times New Roman" w:hAnsi="Times New Roman"/>
                  <w:sz w:val="17"/>
                  <w:szCs w:val="17"/>
                  <w:color w:val="0000FF"/>
                  <w:w w:val="97"/>
                </w:rPr>
                <w:t>Form of Notice of Stock Option Grant and Stock Option Agreement</w:t>
              </w:r>
            </w:hyperlink>
          </w:p>
        </w:tc>
        <w:tc>
          <w:tcPr>
            <w:tcW w:w="2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80" w:type="dxa"/>
            <w:vAlign w:val="bottom"/>
            <w:gridSpan w:val="27"/>
          </w:tcPr>
          <w:p>
            <w:pPr>
              <w:spacing w:after="0" w:line="179" w:lineRule="exact"/>
              <w:rPr>
                <w:rFonts w:ascii="Times New Roman" w:cs="Times New Roman" w:eastAsia="Times New Roman" w:hAnsi="Times New Roman"/>
                <w:sz w:val="17"/>
                <w:szCs w:val="17"/>
                <w:color w:val="0000FF"/>
              </w:rPr>
            </w:pPr>
            <w:hyperlink r:id="rId18">
              <w:r>
                <w:rPr>
                  <w:rFonts w:ascii="Times New Roman" w:cs="Times New Roman" w:eastAsia="Times New Roman" w:hAnsi="Times New Roman"/>
                  <w:sz w:val="17"/>
                  <w:szCs w:val="17"/>
                  <w:color w:val="0000FF"/>
                </w:rPr>
                <w:t>under the 2016 Equity Incentive Plan</w:t>
              </w:r>
            </w:hyperlink>
          </w:p>
        </w:tc>
        <w:tc>
          <w:tcPr>
            <w:tcW w:w="0" w:type="dxa"/>
            <w:vAlign w:val="bottom"/>
          </w:tcPr>
          <w:p>
            <w:pPr>
              <w:spacing w:after="0"/>
              <w:rPr>
                <w:sz w:val="1"/>
                <w:szCs w:val="1"/>
                <w:color w:val="auto"/>
              </w:rPr>
            </w:pPr>
          </w:p>
        </w:tc>
      </w:tr>
      <w:tr>
        <w:trPr>
          <w:trHeight w:val="20"/>
        </w:trPr>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99.3#</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6"/>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10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60" w:type="dxa"/>
            <w:vAlign w:val="bottom"/>
            <w:tcBorders>
              <w:bottom w:val="single" w:sz="8" w:color="0000FF"/>
            </w:tcBorders>
            <w:gridSpan w:val="20"/>
          </w:tcPr>
          <w:p>
            <w:pPr>
              <w:spacing w:after="0"/>
              <w:rPr>
                <w:rFonts w:ascii="Times New Roman" w:cs="Times New Roman" w:eastAsia="Times New Roman" w:hAnsi="Times New Roman"/>
                <w:sz w:val="17"/>
                <w:szCs w:val="17"/>
                <w:color w:val="0000FF"/>
                <w:w w:val="96"/>
              </w:rPr>
            </w:pPr>
            <w:hyperlink r:id="rId19">
              <w:r>
                <w:rPr>
                  <w:rFonts w:ascii="Times New Roman" w:cs="Times New Roman" w:eastAsia="Times New Roman" w:hAnsi="Times New Roman"/>
                  <w:sz w:val="17"/>
                  <w:szCs w:val="17"/>
                  <w:color w:val="0000FF"/>
                  <w:w w:val="96"/>
                </w:rPr>
                <w:t>Form of Notice of Restricted Stock Unit Award Grant and Restricted</w:t>
              </w:r>
            </w:hyperlink>
          </w:p>
        </w:tc>
        <w:tc>
          <w:tcPr>
            <w:tcW w:w="2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80" w:type="dxa"/>
            <w:vAlign w:val="bottom"/>
            <w:gridSpan w:val="27"/>
          </w:tcPr>
          <w:p>
            <w:pPr>
              <w:spacing w:after="0" w:line="179" w:lineRule="exact"/>
              <w:rPr>
                <w:rFonts w:ascii="Times New Roman" w:cs="Times New Roman" w:eastAsia="Times New Roman" w:hAnsi="Times New Roman"/>
                <w:sz w:val="17"/>
                <w:szCs w:val="17"/>
                <w:color w:val="0000FF"/>
              </w:rPr>
            </w:pPr>
            <w:hyperlink r:id="rId19">
              <w:r>
                <w:rPr>
                  <w:rFonts w:ascii="Times New Roman" w:cs="Times New Roman" w:eastAsia="Times New Roman" w:hAnsi="Times New Roman"/>
                  <w:sz w:val="17"/>
                  <w:szCs w:val="17"/>
                  <w:color w:val="0000FF"/>
                </w:rPr>
                <w:t>Stock Unit Agreement under the 2016 Equity Incentive Plan Form of</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6"/>
            <w:shd w:val="clear" w:color="auto" w:fill="0000FF"/>
          </w:tcPr>
          <w:p>
            <w:pPr>
              <w:spacing w:after="0" w:line="20" w:lineRule="exact"/>
              <w:rPr>
                <w:sz w:val="1"/>
                <w:szCs w:val="1"/>
                <w:color w:val="auto"/>
              </w:rPr>
            </w:pPr>
          </w:p>
        </w:tc>
        <w:tc>
          <w:tcPr>
            <w:tcW w:w="1200" w:type="dxa"/>
            <w:vAlign w:val="bottom"/>
            <w:gridSpan w:val="5"/>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gridSpan w:val="4"/>
            <w:shd w:val="clear" w:color="auto" w:fill="0000FF"/>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40" w:type="dxa"/>
            <w:vAlign w:val="bottom"/>
            <w:tcBorders>
              <w:bottom w:val="single" w:sz="8" w:color="0000FF"/>
            </w:tcBorders>
            <w:gridSpan w:val="25"/>
          </w:tcPr>
          <w:p>
            <w:pPr>
              <w:spacing w:after="0" w:line="179" w:lineRule="exact"/>
              <w:rPr>
                <w:rFonts w:ascii="Times New Roman" w:cs="Times New Roman" w:eastAsia="Times New Roman" w:hAnsi="Times New Roman"/>
                <w:sz w:val="17"/>
                <w:szCs w:val="17"/>
                <w:color w:val="0000FF"/>
                <w:w w:val="96"/>
              </w:rPr>
            </w:pPr>
            <w:hyperlink r:id="rId19">
              <w:r>
                <w:rPr>
                  <w:rFonts w:ascii="Times New Roman" w:cs="Times New Roman" w:eastAsia="Times New Roman" w:hAnsi="Times New Roman"/>
                  <w:sz w:val="17"/>
                  <w:szCs w:val="17"/>
                  <w:color w:val="0000FF"/>
                  <w:w w:val="96"/>
                </w:rPr>
                <w:t>Notice of Restricted Stock Unit Award Grant and Restricted Stock Unit</w:t>
              </w:r>
            </w:hyperlink>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80" w:type="dxa"/>
            <w:vAlign w:val="bottom"/>
            <w:gridSpan w:val="27"/>
          </w:tcPr>
          <w:p>
            <w:pPr>
              <w:spacing w:after="0" w:line="179" w:lineRule="exact"/>
              <w:rPr>
                <w:rFonts w:ascii="Times New Roman" w:cs="Times New Roman" w:eastAsia="Times New Roman" w:hAnsi="Times New Roman"/>
                <w:sz w:val="17"/>
                <w:szCs w:val="17"/>
                <w:color w:val="0000FF"/>
              </w:rPr>
            </w:pPr>
            <w:hyperlink r:id="rId19">
              <w:r>
                <w:rPr>
                  <w:rFonts w:ascii="Times New Roman" w:cs="Times New Roman" w:eastAsia="Times New Roman" w:hAnsi="Times New Roman"/>
                  <w:sz w:val="17"/>
                  <w:szCs w:val="17"/>
                  <w:color w:val="0000FF"/>
                </w:rPr>
                <w:t>Agreement under the 2016 Equity Incentive Plan</w:t>
              </w:r>
            </w:hyperlink>
          </w:p>
        </w:tc>
        <w:tc>
          <w:tcPr>
            <w:tcW w:w="0" w:type="dxa"/>
            <w:vAlign w:val="bottom"/>
          </w:tcPr>
          <w:p>
            <w:pPr>
              <w:spacing w:after="0"/>
              <w:rPr>
                <w:sz w:val="1"/>
                <w:szCs w:val="1"/>
                <w:color w:val="auto"/>
              </w:rPr>
            </w:pPr>
          </w:p>
        </w:tc>
      </w:tr>
      <w:tr>
        <w:trPr>
          <w:trHeight w:val="20"/>
        </w:trPr>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99.4#</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6"/>
            <w:shd w:val="clear" w:color="auto" w:fill="0000FF"/>
          </w:tcPr>
          <w:p>
            <w:pPr>
              <w:spacing w:after="0" w:line="20" w:lineRule="exact"/>
              <w:rPr>
                <w:sz w:val="1"/>
                <w:szCs w:val="1"/>
                <w:color w:val="auto"/>
              </w:rPr>
            </w:pPr>
          </w:p>
        </w:tc>
        <w:tc>
          <w:tcPr>
            <w:tcW w:w="1200" w:type="dxa"/>
            <w:vAlign w:val="bottom"/>
            <w:gridSpan w:val="5"/>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10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20" w:type="dxa"/>
            <w:vAlign w:val="bottom"/>
            <w:tcBorders>
              <w:bottom w:val="single" w:sz="8" w:color="0000FF"/>
            </w:tcBorders>
            <w:gridSpan w:val="12"/>
          </w:tcPr>
          <w:p>
            <w:pPr>
              <w:spacing w:after="0"/>
              <w:rPr>
                <w:rFonts w:ascii="Times New Roman" w:cs="Times New Roman" w:eastAsia="Times New Roman" w:hAnsi="Times New Roman"/>
                <w:sz w:val="17"/>
                <w:szCs w:val="17"/>
                <w:color w:val="0000FF"/>
                <w:w w:val="96"/>
              </w:rPr>
            </w:pPr>
            <w:hyperlink r:id="rId20">
              <w:r>
                <w:rPr>
                  <w:rFonts w:ascii="Times New Roman" w:cs="Times New Roman" w:eastAsia="Times New Roman" w:hAnsi="Times New Roman"/>
                  <w:sz w:val="17"/>
                  <w:szCs w:val="17"/>
                  <w:color w:val="0000FF"/>
                  <w:w w:val="96"/>
                </w:rPr>
                <w:t>Cerebras Systems Inc. 2026 Incentive Award Plan</w:t>
              </w:r>
            </w:hyperlink>
          </w:p>
        </w:tc>
        <w:tc>
          <w:tcPr>
            <w:tcW w:w="146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99.5#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60" w:type="dxa"/>
            <w:vAlign w:val="bottom"/>
            <w:tcBorders>
              <w:bottom w:val="single" w:sz="8" w:color="0000FF"/>
            </w:tcBorders>
            <w:gridSpan w:val="26"/>
          </w:tcPr>
          <w:p>
            <w:pPr>
              <w:spacing w:after="0"/>
              <w:rPr>
                <w:rFonts w:ascii="Times New Roman" w:cs="Times New Roman" w:eastAsia="Times New Roman" w:hAnsi="Times New Roman"/>
                <w:sz w:val="17"/>
                <w:szCs w:val="17"/>
                <w:color w:val="0000FF"/>
                <w:w w:val="97"/>
              </w:rPr>
            </w:pPr>
            <w:hyperlink r:id="rId21">
              <w:r>
                <w:rPr>
                  <w:rFonts w:ascii="Times New Roman" w:cs="Times New Roman" w:eastAsia="Times New Roman" w:hAnsi="Times New Roman"/>
                  <w:sz w:val="17"/>
                  <w:szCs w:val="17"/>
                  <w:color w:val="0000FF"/>
                  <w:w w:val="97"/>
                </w:rPr>
                <w:t>Form of Stock Option Grant Notice and Stock Option Agreement under</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80" w:type="dxa"/>
            <w:vAlign w:val="bottom"/>
            <w:gridSpan w:val="27"/>
          </w:tcPr>
          <w:p>
            <w:pPr>
              <w:spacing w:after="0" w:line="179" w:lineRule="exact"/>
              <w:rPr>
                <w:rFonts w:ascii="Times New Roman" w:cs="Times New Roman" w:eastAsia="Times New Roman" w:hAnsi="Times New Roman"/>
                <w:sz w:val="17"/>
                <w:szCs w:val="17"/>
                <w:color w:val="0000FF"/>
              </w:rPr>
            </w:pPr>
            <w:hyperlink r:id="rId21">
              <w:r>
                <w:rPr>
                  <w:rFonts w:ascii="Times New Roman" w:cs="Times New Roman" w:eastAsia="Times New Roman" w:hAnsi="Times New Roman"/>
                  <w:sz w:val="17"/>
                  <w:szCs w:val="17"/>
                  <w:color w:val="0000FF"/>
                </w:rPr>
                <w:t>the 2026 Incentive Award Plan</w:t>
              </w:r>
            </w:hyperlink>
          </w:p>
        </w:tc>
        <w:tc>
          <w:tcPr>
            <w:tcW w:w="0" w:type="dxa"/>
            <w:vAlign w:val="bottom"/>
          </w:tcPr>
          <w:p>
            <w:pPr>
              <w:spacing w:after="0"/>
              <w:rPr>
                <w:sz w:val="1"/>
                <w:szCs w:val="1"/>
                <w:color w:val="auto"/>
              </w:rPr>
            </w:pPr>
          </w:p>
        </w:tc>
      </w:tr>
      <w:tr>
        <w:trPr>
          <w:trHeight w:val="20"/>
        </w:trPr>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99.6#</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6"/>
            <w:shd w:val="clear" w:color="auto" w:fill="0000FF"/>
          </w:tcPr>
          <w:p>
            <w:pPr>
              <w:spacing w:after="0" w:line="20" w:lineRule="exact"/>
              <w:rPr>
                <w:sz w:val="1"/>
                <w:szCs w:val="1"/>
                <w:color w:val="auto"/>
              </w:rPr>
            </w:pPr>
          </w:p>
        </w:tc>
        <w:tc>
          <w:tcPr>
            <w:tcW w:w="2340" w:type="dxa"/>
            <w:vAlign w:val="bottom"/>
            <w:gridSpan w:val="1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10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80" w:type="dxa"/>
            <w:vAlign w:val="bottom"/>
            <w:tcBorders>
              <w:bottom w:val="single" w:sz="8" w:color="0000FF"/>
            </w:tcBorders>
            <w:gridSpan w:val="16"/>
          </w:tcPr>
          <w:p>
            <w:pPr>
              <w:spacing w:after="0"/>
              <w:rPr>
                <w:rFonts w:ascii="Times New Roman" w:cs="Times New Roman" w:eastAsia="Times New Roman" w:hAnsi="Times New Roman"/>
                <w:sz w:val="17"/>
                <w:szCs w:val="17"/>
                <w:color w:val="0000FF"/>
                <w:w w:val="96"/>
              </w:rPr>
            </w:pPr>
            <w:hyperlink r:id="rId22">
              <w:r>
                <w:rPr>
                  <w:rFonts w:ascii="Times New Roman" w:cs="Times New Roman" w:eastAsia="Times New Roman" w:hAnsi="Times New Roman"/>
                  <w:sz w:val="17"/>
                  <w:szCs w:val="17"/>
                  <w:color w:val="0000FF"/>
                  <w:w w:val="96"/>
                </w:rPr>
                <w:t>Form of Restricted Stock Unit Award Grant Notice and Restricted</w:t>
              </w:r>
            </w:hyperlink>
          </w:p>
        </w:tc>
        <w:tc>
          <w:tcPr>
            <w:tcW w:w="40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80" w:type="dxa"/>
            <w:vAlign w:val="bottom"/>
            <w:tcBorders>
              <w:bottom w:val="single" w:sz="8" w:color="0000FF"/>
            </w:tcBorders>
            <w:gridSpan w:val="17"/>
          </w:tcPr>
          <w:p>
            <w:pPr>
              <w:spacing w:after="0" w:line="179" w:lineRule="exact"/>
              <w:rPr>
                <w:rFonts w:ascii="Times New Roman" w:cs="Times New Roman" w:eastAsia="Times New Roman" w:hAnsi="Times New Roman"/>
                <w:sz w:val="17"/>
                <w:szCs w:val="17"/>
                <w:color w:val="0000FF"/>
                <w:w w:val="96"/>
              </w:rPr>
            </w:pPr>
            <w:hyperlink r:id="rId22">
              <w:r>
                <w:rPr>
                  <w:rFonts w:ascii="Times New Roman" w:cs="Times New Roman" w:eastAsia="Times New Roman" w:hAnsi="Times New Roman"/>
                  <w:sz w:val="17"/>
                  <w:szCs w:val="17"/>
                  <w:color w:val="0000FF"/>
                  <w:w w:val="96"/>
                </w:rPr>
                <w:t>Stock Unit Award Agreement under the 2026 Incentive Award Plan</w:t>
              </w:r>
            </w:hyperlink>
          </w:p>
        </w:tc>
        <w:tc>
          <w:tcPr>
            <w:tcW w:w="300" w:type="dxa"/>
            <w:vAlign w:val="bottom"/>
            <w:gridSpan w:val="10"/>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7"/>
                <w:szCs w:val="17"/>
                <w:b w:val="1"/>
                <w:bCs w:val="1"/>
                <w:color w:val="auto"/>
              </w:rPr>
              <w:t>Incorporated by Reference</w:t>
            </w:r>
          </w:p>
        </w:tc>
        <w:tc>
          <w:tcPr>
            <w:tcW w:w="0" w:type="dxa"/>
            <w:vAlign w:val="bottom"/>
          </w:tcPr>
          <w:p>
            <w:pPr>
              <w:spacing w:after="0"/>
              <w:rPr>
                <w:sz w:val="1"/>
                <w:szCs w:val="1"/>
                <w:color w:val="auto"/>
              </w:rPr>
            </w:pPr>
          </w:p>
        </w:tc>
      </w:tr>
      <w:tr>
        <w:trPr>
          <w:trHeight w:val="154"/>
        </w:trPr>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Form</w:t>
            </w:r>
          </w:p>
        </w:tc>
        <w:tc>
          <w:tcPr>
            <w:tcW w:w="80" w:type="dxa"/>
            <w:vAlign w:val="bottom"/>
            <w:vMerge w:val="restart"/>
          </w:tcPr>
          <w:p>
            <w:pPr>
              <w:spacing w:after="0"/>
              <w:rPr>
                <w:sz w:val="13"/>
                <w:szCs w:val="13"/>
                <w:color w:val="auto"/>
              </w:rPr>
            </w:pPr>
          </w:p>
        </w:tc>
        <w:tc>
          <w:tcPr>
            <w:tcW w:w="1160" w:type="dxa"/>
            <w:vAlign w:val="bottom"/>
          </w:tcPr>
          <w:p>
            <w:pPr>
              <w:jc w:val="center"/>
              <w:ind w:left="97"/>
              <w:spacing w:after="0" w:line="154" w:lineRule="exact"/>
              <w:rPr>
                <w:sz w:val="20"/>
                <w:szCs w:val="20"/>
                <w:color w:val="auto"/>
              </w:rPr>
            </w:pPr>
            <w:r>
              <w:rPr>
                <w:rFonts w:ascii="Times New Roman" w:cs="Times New Roman" w:eastAsia="Times New Roman" w:hAnsi="Times New Roman"/>
                <w:sz w:val="17"/>
                <w:szCs w:val="17"/>
                <w:b w:val="1"/>
                <w:bCs w:val="1"/>
                <w:color w:val="auto"/>
                <w:w w:val="94"/>
              </w:rPr>
              <w:t>File</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Exhibit</w:t>
            </w:r>
          </w:p>
        </w:tc>
        <w:tc>
          <w:tcPr>
            <w:tcW w:w="80" w:type="dxa"/>
            <w:vAlign w:val="bottom"/>
            <w:vMerge w:val="restart"/>
          </w:tcPr>
          <w:p>
            <w:pPr>
              <w:spacing w:after="0"/>
              <w:rPr>
                <w:sz w:val="13"/>
                <w:szCs w:val="13"/>
                <w:color w:val="auto"/>
              </w:rPr>
            </w:pPr>
          </w:p>
        </w:tc>
        <w:tc>
          <w:tcPr>
            <w:tcW w:w="1920" w:type="dxa"/>
            <w:vAlign w:val="bottom"/>
          </w:tcPr>
          <w:p>
            <w:pPr>
              <w:jc w:val="center"/>
              <w:spacing w:after="0" w:line="154" w:lineRule="exact"/>
              <w:rPr>
                <w:sz w:val="20"/>
                <w:szCs w:val="20"/>
                <w:color w:val="auto"/>
              </w:rPr>
            </w:pPr>
            <w:r>
              <w:rPr>
                <w:rFonts w:ascii="Times New Roman" w:cs="Times New Roman" w:eastAsia="Times New Roman" w:hAnsi="Times New Roman"/>
                <w:sz w:val="17"/>
                <w:szCs w:val="17"/>
                <w:b w:val="1"/>
                <w:bCs w:val="1"/>
                <w:color w:val="auto"/>
                <w:w w:val="98"/>
              </w:rPr>
              <w:t>Filing</w:t>
            </w:r>
          </w:p>
        </w:tc>
        <w:tc>
          <w:tcPr>
            <w:tcW w:w="0" w:type="dxa"/>
            <w:vAlign w:val="bottom"/>
          </w:tcPr>
          <w:p>
            <w:pPr>
              <w:spacing w:after="0"/>
              <w:rPr>
                <w:sz w:val="1"/>
                <w:szCs w:val="1"/>
                <w:color w:val="auto"/>
              </w:rPr>
            </w:pPr>
          </w:p>
        </w:tc>
      </w:tr>
      <w:tr>
        <w:trPr>
          <w:trHeight w:val="224"/>
        </w:trPr>
        <w:tc>
          <w:tcPr>
            <w:tcW w:w="74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160" w:type="dxa"/>
            <w:vAlign w:val="bottom"/>
            <w:tcBorders>
              <w:bottom w:val="single" w:sz="8" w:color="auto"/>
            </w:tcBorders>
          </w:tcPr>
          <w:p>
            <w:pPr>
              <w:jc w:val="center"/>
              <w:ind w:left="97"/>
              <w:spacing w:after="0"/>
              <w:rPr>
                <w:sz w:val="20"/>
                <w:szCs w:val="20"/>
                <w:color w:val="auto"/>
              </w:rPr>
            </w:pPr>
            <w:r>
              <w:rPr>
                <w:rFonts w:ascii="Times New Roman" w:cs="Times New Roman" w:eastAsia="Times New Roman" w:hAnsi="Times New Roman"/>
                <w:sz w:val="17"/>
                <w:szCs w:val="17"/>
                <w:b w:val="1"/>
                <w:bCs w:val="1"/>
                <w:color w:val="auto"/>
                <w:w w:val="95"/>
              </w:rPr>
              <w:t>Number</w:t>
            </w:r>
          </w:p>
        </w:tc>
        <w:tc>
          <w:tcPr>
            <w:tcW w:w="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4"/>
              </w:rPr>
              <w:t>Date</w:t>
            </w:r>
          </w:p>
        </w:tc>
        <w:tc>
          <w:tcPr>
            <w:tcW w:w="0" w:type="dxa"/>
            <w:vAlign w:val="bottom"/>
          </w:tcPr>
          <w:p>
            <w:pPr>
              <w:spacing w:after="0"/>
              <w:rPr>
                <w:sz w:val="1"/>
                <w:szCs w:val="1"/>
                <w:color w:val="auto"/>
              </w:rPr>
            </w:pPr>
          </w:p>
        </w:tc>
      </w:tr>
      <w:tr>
        <w:trPr>
          <w:trHeight w:val="316"/>
        </w:trPr>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2"/>
              </w:rPr>
              <w:t>S-1</w:t>
            </w:r>
          </w:p>
        </w:tc>
        <w:tc>
          <w:tcPr>
            <w:tcW w:w="1160" w:type="dxa"/>
            <w:vAlign w:val="bottom"/>
          </w:tcPr>
          <w:p>
            <w:pPr>
              <w:jc w:val="center"/>
              <w:ind w:left="77"/>
              <w:spacing w:after="0"/>
              <w:rPr>
                <w:sz w:val="20"/>
                <w:szCs w:val="20"/>
                <w:color w:val="auto"/>
              </w:rPr>
            </w:pPr>
            <w:r>
              <w:rPr>
                <w:rFonts w:ascii="Times New Roman" w:cs="Times New Roman" w:eastAsia="Times New Roman" w:hAnsi="Times New Roman"/>
                <w:sz w:val="17"/>
                <w:szCs w:val="17"/>
                <w:color w:val="auto"/>
                <w:w w:val="97"/>
              </w:rPr>
              <w:t>333-295145</w:t>
            </w:r>
          </w:p>
        </w:tc>
        <w:tc>
          <w:tcPr>
            <w:tcW w:w="1220" w:type="dxa"/>
            <w:vAlign w:val="bottom"/>
            <w:gridSpan w:val="3"/>
          </w:tcPr>
          <w:p>
            <w:pPr>
              <w:jc w:val="center"/>
              <w:ind w:left="177"/>
              <w:spacing w:after="0"/>
              <w:rPr>
                <w:sz w:val="20"/>
                <w:szCs w:val="20"/>
                <w:color w:val="auto"/>
              </w:rPr>
            </w:pPr>
            <w:r>
              <w:rPr>
                <w:rFonts w:ascii="Times New Roman" w:cs="Times New Roman" w:eastAsia="Times New Roman" w:hAnsi="Times New Roman"/>
                <w:sz w:val="17"/>
                <w:szCs w:val="17"/>
                <w:color w:val="auto"/>
                <w:w w:val="93"/>
              </w:rPr>
              <w:t>3.1</w:t>
            </w:r>
          </w:p>
        </w:tc>
        <w:tc>
          <w:tcPr>
            <w:tcW w:w="8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April 17, 2026</w:t>
            </w:r>
          </w:p>
        </w:tc>
        <w:tc>
          <w:tcPr>
            <w:tcW w:w="0" w:type="dxa"/>
            <w:vAlign w:val="bottom"/>
          </w:tcPr>
          <w:p>
            <w:pPr>
              <w:spacing w:after="0"/>
              <w:rPr>
                <w:sz w:val="1"/>
                <w:szCs w:val="1"/>
                <w:color w:val="auto"/>
              </w:rPr>
            </w:pPr>
          </w:p>
        </w:tc>
      </w:tr>
      <w:tr>
        <w:trPr>
          <w:trHeight w:val="597"/>
        </w:trPr>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2"/>
              </w:rPr>
              <w:t>S-1</w:t>
            </w:r>
          </w:p>
        </w:tc>
        <w:tc>
          <w:tcPr>
            <w:tcW w:w="1160" w:type="dxa"/>
            <w:vAlign w:val="bottom"/>
          </w:tcPr>
          <w:p>
            <w:pPr>
              <w:jc w:val="center"/>
              <w:ind w:left="77"/>
              <w:spacing w:after="0"/>
              <w:rPr>
                <w:sz w:val="20"/>
                <w:szCs w:val="20"/>
                <w:color w:val="auto"/>
              </w:rPr>
            </w:pPr>
            <w:r>
              <w:rPr>
                <w:rFonts w:ascii="Times New Roman" w:cs="Times New Roman" w:eastAsia="Times New Roman" w:hAnsi="Times New Roman"/>
                <w:sz w:val="17"/>
                <w:szCs w:val="17"/>
                <w:color w:val="auto"/>
                <w:w w:val="97"/>
              </w:rPr>
              <w:t>333-295145</w:t>
            </w:r>
          </w:p>
        </w:tc>
        <w:tc>
          <w:tcPr>
            <w:tcW w:w="1220" w:type="dxa"/>
            <w:vAlign w:val="bottom"/>
            <w:gridSpan w:val="3"/>
          </w:tcPr>
          <w:p>
            <w:pPr>
              <w:jc w:val="center"/>
              <w:ind w:left="177"/>
              <w:spacing w:after="0"/>
              <w:rPr>
                <w:sz w:val="20"/>
                <w:szCs w:val="20"/>
                <w:color w:val="auto"/>
              </w:rPr>
            </w:pPr>
            <w:r>
              <w:rPr>
                <w:rFonts w:ascii="Times New Roman" w:cs="Times New Roman" w:eastAsia="Times New Roman" w:hAnsi="Times New Roman"/>
                <w:sz w:val="17"/>
                <w:szCs w:val="17"/>
                <w:color w:val="auto"/>
                <w:w w:val="93"/>
              </w:rPr>
              <w:t>3.2</w:t>
            </w:r>
          </w:p>
        </w:tc>
        <w:tc>
          <w:tcPr>
            <w:tcW w:w="8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April 17, 2026</w:t>
            </w:r>
          </w:p>
        </w:tc>
        <w:tc>
          <w:tcPr>
            <w:tcW w:w="0" w:type="dxa"/>
            <w:vAlign w:val="bottom"/>
          </w:tcPr>
          <w:p>
            <w:pPr>
              <w:spacing w:after="0"/>
              <w:rPr>
                <w:sz w:val="1"/>
                <w:szCs w:val="1"/>
                <w:color w:val="auto"/>
              </w:rPr>
            </w:pPr>
          </w:p>
        </w:tc>
      </w:tr>
      <w:tr>
        <w:trPr>
          <w:trHeight w:val="498"/>
        </w:trPr>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2"/>
              </w:rPr>
              <w:t>S-1</w:t>
            </w:r>
          </w:p>
        </w:tc>
        <w:tc>
          <w:tcPr>
            <w:tcW w:w="1160" w:type="dxa"/>
            <w:vAlign w:val="bottom"/>
          </w:tcPr>
          <w:p>
            <w:pPr>
              <w:jc w:val="center"/>
              <w:ind w:left="77"/>
              <w:spacing w:after="0"/>
              <w:rPr>
                <w:sz w:val="20"/>
                <w:szCs w:val="20"/>
                <w:color w:val="auto"/>
              </w:rPr>
            </w:pPr>
            <w:r>
              <w:rPr>
                <w:rFonts w:ascii="Times New Roman" w:cs="Times New Roman" w:eastAsia="Times New Roman" w:hAnsi="Times New Roman"/>
                <w:sz w:val="17"/>
                <w:szCs w:val="17"/>
                <w:color w:val="auto"/>
                <w:w w:val="97"/>
              </w:rPr>
              <w:t>333-295145</w:t>
            </w:r>
          </w:p>
        </w:tc>
        <w:tc>
          <w:tcPr>
            <w:tcW w:w="1220" w:type="dxa"/>
            <w:vAlign w:val="bottom"/>
            <w:gridSpan w:val="3"/>
          </w:tcPr>
          <w:p>
            <w:pPr>
              <w:jc w:val="center"/>
              <w:ind w:left="177"/>
              <w:spacing w:after="0"/>
              <w:rPr>
                <w:sz w:val="20"/>
                <w:szCs w:val="20"/>
                <w:color w:val="auto"/>
              </w:rPr>
            </w:pPr>
            <w:r>
              <w:rPr>
                <w:rFonts w:ascii="Times New Roman" w:cs="Times New Roman" w:eastAsia="Times New Roman" w:hAnsi="Times New Roman"/>
                <w:sz w:val="17"/>
                <w:szCs w:val="17"/>
                <w:color w:val="auto"/>
                <w:w w:val="93"/>
              </w:rPr>
              <w:t>3.3</w:t>
            </w:r>
          </w:p>
        </w:tc>
        <w:tc>
          <w:tcPr>
            <w:tcW w:w="8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April 17, 2026</w:t>
            </w:r>
          </w:p>
        </w:tc>
        <w:tc>
          <w:tcPr>
            <w:tcW w:w="0" w:type="dxa"/>
            <w:vAlign w:val="bottom"/>
          </w:tcPr>
          <w:p>
            <w:pPr>
              <w:spacing w:after="0"/>
              <w:rPr>
                <w:sz w:val="1"/>
                <w:szCs w:val="1"/>
                <w:color w:val="auto"/>
              </w:rPr>
            </w:pPr>
          </w:p>
        </w:tc>
      </w:tr>
      <w:tr>
        <w:trPr>
          <w:trHeight w:val="398"/>
        </w:trPr>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2"/>
              </w:rPr>
              <w:t>S-1</w:t>
            </w:r>
          </w:p>
        </w:tc>
        <w:tc>
          <w:tcPr>
            <w:tcW w:w="1160" w:type="dxa"/>
            <w:vAlign w:val="bottom"/>
          </w:tcPr>
          <w:p>
            <w:pPr>
              <w:jc w:val="center"/>
              <w:ind w:left="77"/>
              <w:spacing w:after="0"/>
              <w:rPr>
                <w:sz w:val="20"/>
                <w:szCs w:val="20"/>
                <w:color w:val="auto"/>
              </w:rPr>
            </w:pPr>
            <w:r>
              <w:rPr>
                <w:rFonts w:ascii="Times New Roman" w:cs="Times New Roman" w:eastAsia="Times New Roman" w:hAnsi="Times New Roman"/>
                <w:sz w:val="17"/>
                <w:szCs w:val="17"/>
                <w:color w:val="auto"/>
                <w:w w:val="97"/>
              </w:rPr>
              <w:t>333-295145</w:t>
            </w:r>
          </w:p>
        </w:tc>
        <w:tc>
          <w:tcPr>
            <w:tcW w:w="1220" w:type="dxa"/>
            <w:vAlign w:val="bottom"/>
            <w:gridSpan w:val="3"/>
          </w:tcPr>
          <w:p>
            <w:pPr>
              <w:jc w:val="center"/>
              <w:ind w:left="177"/>
              <w:spacing w:after="0"/>
              <w:rPr>
                <w:sz w:val="20"/>
                <w:szCs w:val="20"/>
                <w:color w:val="auto"/>
              </w:rPr>
            </w:pPr>
            <w:r>
              <w:rPr>
                <w:rFonts w:ascii="Times New Roman" w:cs="Times New Roman" w:eastAsia="Times New Roman" w:hAnsi="Times New Roman"/>
                <w:sz w:val="17"/>
                <w:szCs w:val="17"/>
                <w:color w:val="auto"/>
                <w:w w:val="93"/>
              </w:rPr>
              <w:t>3.4</w:t>
            </w:r>
          </w:p>
        </w:tc>
        <w:tc>
          <w:tcPr>
            <w:tcW w:w="8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April 17, 2026</w:t>
            </w:r>
          </w:p>
        </w:tc>
        <w:tc>
          <w:tcPr>
            <w:tcW w:w="0" w:type="dxa"/>
            <w:vAlign w:val="bottom"/>
          </w:tcPr>
          <w:p>
            <w:pPr>
              <w:spacing w:after="0"/>
              <w:rPr>
                <w:sz w:val="1"/>
                <w:szCs w:val="1"/>
                <w:color w:val="auto"/>
              </w:rPr>
            </w:pPr>
          </w:p>
        </w:tc>
      </w:tr>
      <w:tr>
        <w:trPr>
          <w:trHeight w:val="398"/>
        </w:trPr>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2"/>
              </w:rPr>
              <w:t>S-1</w:t>
            </w:r>
          </w:p>
        </w:tc>
        <w:tc>
          <w:tcPr>
            <w:tcW w:w="1160" w:type="dxa"/>
            <w:vAlign w:val="bottom"/>
          </w:tcPr>
          <w:p>
            <w:pPr>
              <w:jc w:val="center"/>
              <w:ind w:left="77"/>
              <w:spacing w:after="0"/>
              <w:rPr>
                <w:sz w:val="20"/>
                <w:szCs w:val="20"/>
                <w:color w:val="auto"/>
              </w:rPr>
            </w:pPr>
            <w:r>
              <w:rPr>
                <w:rFonts w:ascii="Times New Roman" w:cs="Times New Roman" w:eastAsia="Times New Roman" w:hAnsi="Times New Roman"/>
                <w:sz w:val="17"/>
                <w:szCs w:val="17"/>
                <w:color w:val="auto"/>
                <w:w w:val="97"/>
              </w:rPr>
              <w:t>333-295145</w:t>
            </w:r>
          </w:p>
        </w:tc>
        <w:tc>
          <w:tcPr>
            <w:tcW w:w="1220" w:type="dxa"/>
            <w:vAlign w:val="bottom"/>
            <w:gridSpan w:val="3"/>
          </w:tcPr>
          <w:p>
            <w:pPr>
              <w:jc w:val="center"/>
              <w:ind w:left="177"/>
              <w:spacing w:after="0"/>
              <w:rPr>
                <w:sz w:val="20"/>
                <w:szCs w:val="20"/>
                <w:color w:val="auto"/>
              </w:rPr>
            </w:pPr>
            <w:r>
              <w:rPr>
                <w:rFonts w:ascii="Times New Roman" w:cs="Times New Roman" w:eastAsia="Times New Roman" w:hAnsi="Times New Roman"/>
                <w:sz w:val="17"/>
                <w:szCs w:val="17"/>
                <w:color w:val="auto"/>
                <w:w w:val="93"/>
              </w:rPr>
              <w:t>4.2</w:t>
            </w:r>
          </w:p>
        </w:tc>
        <w:tc>
          <w:tcPr>
            <w:tcW w:w="8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April 17, 2026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640" w:type="dxa"/>
            <w:vAlign w:val="bottom"/>
          </w:tcPr>
          <w:p>
            <w:pPr>
              <w:jc w:val="center"/>
              <w:ind w:right="177"/>
              <w:spacing w:after="0"/>
              <w:rPr>
                <w:sz w:val="20"/>
                <w:szCs w:val="20"/>
                <w:color w:val="auto"/>
              </w:rPr>
            </w:pPr>
            <w:r>
              <w:rPr>
                <w:rFonts w:ascii="Times New Roman" w:cs="Times New Roman" w:eastAsia="Times New Roman" w:hAnsi="Times New Roman"/>
                <w:sz w:val="17"/>
                <w:szCs w:val="17"/>
                <w:color w:val="auto"/>
                <w:w w:val="92"/>
              </w:rPr>
              <w:t>S-1</w:t>
            </w:r>
          </w:p>
        </w:tc>
        <w:tc>
          <w:tcPr>
            <w:tcW w:w="1360" w:type="dxa"/>
            <w:vAlign w:val="bottom"/>
          </w:tcPr>
          <w:p>
            <w:pPr>
              <w:jc w:val="right"/>
              <w:ind w:right="217"/>
              <w:spacing w:after="0"/>
              <w:rPr>
                <w:sz w:val="20"/>
                <w:szCs w:val="20"/>
                <w:color w:val="auto"/>
              </w:rPr>
            </w:pPr>
            <w:r>
              <w:rPr>
                <w:rFonts w:ascii="Times New Roman" w:cs="Times New Roman" w:eastAsia="Times New Roman" w:hAnsi="Times New Roman"/>
                <w:sz w:val="17"/>
                <w:szCs w:val="17"/>
                <w:color w:val="auto"/>
              </w:rPr>
              <w:t>333-295145</w:t>
            </w:r>
          </w:p>
        </w:tc>
        <w:tc>
          <w:tcPr>
            <w:tcW w:w="11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10.2(a)</w:t>
            </w:r>
          </w:p>
        </w:tc>
        <w:tc>
          <w:tcPr>
            <w:tcW w:w="1380" w:type="dxa"/>
            <w:vAlign w:val="bottom"/>
          </w:tcPr>
          <w:p>
            <w:pPr>
              <w:jc w:val="center"/>
              <w:ind w:left="317"/>
              <w:spacing w:after="0"/>
              <w:rPr>
                <w:sz w:val="20"/>
                <w:szCs w:val="20"/>
                <w:color w:val="auto"/>
              </w:rPr>
            </w:pPr>
            <w:r>
              <w:rPr>
                <w:rFonts w:ascii="Times New Roman" w:cs="Times New Roman" w:eastAsia="Times New Roman" w:hAnsi="Times New Roman"/>
                <w:sz w:val="17"/>
                <w:szCs w:val="17"/>
                <w:color w:val="auto"/>
                <w:w w:val="98"/>
              </w:rPr>
              <w:t>April 17, 2026</w:t>
            </w:r>
          </w:p>
        </w:tc>
      </w:tr>
      <w:tr>
        <w:trPr>
          <w:trHeight w:val="398"/>
        </w:trPr>
        <w:tc>
          <w:tcPr>
            <w:tcW w:w="640" w:type="dxa"/>
            <w:vAlign w:val="bottom"/>
          </w:tcPr>
          <w:p>
            <w:pPr>
              <w:jc w:val="center"/>
              <w:ind w:right="177"/>
              <w:spacing w:after="0"/>
              <w:rPr>
                <w:sz w:val="20"/>
                <w:szCs w:val="20"/>
                <w:color w:val="auto"/>
              </w:rPr>
            </w:pPr>
            <w:r>
              <w:rPr>
                <w:rFonts w:ascii="Times New Roman" w:cs="Times New Roman" w:eastAsia="Times New Roman" w:hAnsi="Times New Roman"/>
                <w:sz w:val="17"/>
                <w:szCs w:val="17"/>
                <w:color w:val="auto"/>
                <w:w w:val="92"/>
              </w:rPr>
              <w:t>S-1</w:t>
            </w:r>
          </w:p>
        </w:tc>
        <w:tc>
          <w:tcPr>
            <w:tcW w:w="1360" w:type="dxa"/>
            <w:vAlign w:val="bottom"/>
          </w:tcPr>
          <w:p>
            <w:pPr>
              <w:jc w:val="right"/>
              <w:ind w:right="217"/>
              <w:spacing w:after="0"/>
              <w:rPr>
                <w:sz w:val="20"/>
                <w:szCs w:val="20"/>
                <w:color w:val="auto"/>
              </w:rPr>
            </w:pPr>
            <w:r>
              <w:rPr>
                <w:rFonts w:ascii="Times New Roman" w:cs="Times New Roman" w:eastAsia="Times New Roman" w:hAnsi="Times New Roman"/>
                <w:sz w:val="17"/>
                <w:szCs w:val="17"/>
                <w:color w:val="auto"/>
              </w:rPr>
              <w:t>333-295145</w:t>
            </w:r>
          </w:p>
        </w:tc>
        <w:tc>
          <w:tcPr>
            <w:tcW w:w="11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10.2(b)</w:t>
            </w:r>
          </w:p>
        </w:tc>
        <w:tc>
          <w:tcPr>
            <w:tcW w:w="1380" w:type="dxa"/>
            <w:vAlign w:val="bottom"/>
          </w:tcPr>
          <w:p>
            <w:pPr>
              <w:jc w:val="center"/>
              <w:ind w:left="317"/>
              <w:spacing w:after="0"/>
              <w:rPr>
                <w:sz w:val="20"/>
                <w:szCs w:val="20"/>
                <w:color w:val="auto"/>
              </w:rPr>
            </w:pPr>
            <w:r>
              <w:rPr>
                <w:rFonts w:ascii="Times New Roman" w:cs="Times New Roman" w:eastAsia="Times New Roman" w:hAnsi="Times New Roman"/>
                <w:sz w:val="17"/>
                <w:szCs w:val="17"/>
                <w:color w:val="auto"/>
                <w:w w:val="98"/>
              </w:rPr>
              <w:t>April 17, 2026</w:t>
            </w:r>
          </w:p>
        </w:tc>
      </w:tr>
      <w:tr>
        <w:trPr>
          <w:trHeight w:val="697"/>
        </w:trPr>
        <w:tc>
          <w:tcPr>
            <w:tcW w:w="640" w:type="dxa"/>
            <w:vAlign w:val="bottom"/>
          </w:tcPr>
          <w:p>
            <w:pPr>
              <w:jc w:val="center"/>
              <w:ind w:right="177"/>
              <w:spacing w:after="0"/>
              <w:rPr>
                <w:sz w:val="20"/>
                <w:szCs w:val="20"/>
                <w:color w:val="auto"/>
              </w:rPr>
            </w:pPr>
            <w:r>
              <w:rPr>
                <w:rFonts w:ascii="Times New Roman" w:cs="Times New Roman" w:eastAsia="Times New Roman" w:hAnsi="Times New Roman"/>
                <w:sz w:val="17"/>
                <w:szCs w:val="17"/>
                <w:color w:val="auto"/>
                <w:w w:val="92"/>
              </w:rPr>
              <w:t>S-1</w:t>
            </w:r>
          </w:p>
        </w:tc>
        <w:tc>
          <w:tcPr>
            <w:tcW w:w="1360" w:type="dxa"/>
            <w:vAlign w:val="bottom"/>
          </w:tcPr>
          <w:p>
            <w:pPr>
              <w:jc w:val="right"/>
              <w:ind w:right="217"/>
              <w:spacing w:after="0"/>
              <w:rPr>
                <w:sz w:val="20"/>
                <w:szCs w:val="20"/>
                <w:color w:val="auto"/>
              </w:rPr>
            </w:pPr>
            <w:r>
              <w:rPr>
                <w:rFonts w:ascii="Times New Roman" w:cs="Times New Roman" w:eastAsia="Times New Roman" w:hAnsi="Times New Roman"/>
                <w:sz w:val="17"/>
                <w:szCs w:val="17"/>
                <w:color w:val="auto"/>
              </w:rPr>
              <w:t>333-295145</w:t>
            </w:r>
          </w:p>
        </w:tc>
        <w:tc>
          <w:tcPr>
            <w:tcW w:w="11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10.2(c)</w:t>
            </w:r>
          </w:p>
        </w:tc>
        <w:tc>
          <w:tcPr>
            <w:tcW w:w="1380" w:type="dxa"/>
            <w:vAlign w:val="bottom"/>
          </w:tcPr>
          <w:p>
            <w:pPr>
              <w:jc w:val="center"/>
              <w:ind w:left="317"/>
              <w:spacing w:after="0"/>
              <w:rPr>
                <w:sz w:val="20"/>
                <w:szCs w:val="20"/>
                <w:color w:val="auto"/>
              </w:rPr>
            </w:pPr>
            <w:r>
              <w:rPr>
                <w:rFonts w:ascii="Times New Roman" w:cs="Times New Roman" w:eastAsia="Times New Roman" w:hAnsi="Times New Roman"/>
                <w:sz w:val="17"/>
                <w:szCs w:val="17"/>
                <w:color w:val="auto"/>
                <w:w w:val="98"/>
              </w:rPr>
              <w:t>April 17, 2026</w:t>
            </w:r>
          </w:p>
        </w:tc>
      </w:tr>
      <w:tr>
        <w:trPr>
          <w:trHeight w:val="597"/>
        </w:trPr>
        <w:tc>
          <w:tcPr>
            <w:tcW w:w="640" w:type="dxa"/>
            <w:vAlign w:val="bottom"/>
          </w:tcPr>
          <w:p>
            <w:pPr>
              <w:jc w:val="center"/>
              <w:ind w:right="157"/>
              <w:spacing w:after="0"/>
              <w:rPr>
                <w:sz w:val="20"/>
                <w:szCs w:val="20"/>
                <w:color w:val="auto"/>
              </w:rPr>
            </w:pPr>
            <w:r>
              <w:rPr>
                <w:rFonts w:ascii="Times New Roman" w:cs="Times New Roman" w:eastAsia="Times New Roman" w:hAnsi="Times New Roman"/>
                <w:sz w:val="17"/>
                <w:szCs w:val="17"/>
                <w:color w:val="auto"/>
                <w:w w:val="98"/>
              </w:rPr>
              <w:t>S-1/A</w:t>
            </w:r>
          </w:p>
        </w:tc>
        <w:tc>
          <w:tcPr>
            <w:tcW w:w="1360" w:type="dxa"/>
            <w:vAlign w:val="bottom"/>
          </w:tcPr>
          <w:p>
            <w:pPr>
              <w:jc w:val="right"/>
              <w:ind w:right="217"/>
              <w:spacing w:after="0"/>
              <w:rPr>
                <w:sz w:val="20"/>
                <w:szCs w:val="20"/>
                <w:color w:val="auto"/>
              </w:rPr>
            </w:pPr>
            <w:r>
              <w:rPr>
                <w:rFonts w:ascii="Times New Roman" w:cs="Times New Roman" w:eastAsia="Times New Roman" w:hAnsi="Times New Roman"/>
                <w:sz w:val="17"/>
                <w:szCs w:val="17"/>
                <w:color w:val="auto"/>
              </w:rPr>
              <w:t>333-295145</w:t>
            </w:r>
          </w:p>
        </w:tc>
        <w:tc>
          <w:tcPr>
            <w:tcW w:w="11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10.3(a)</w:t>
            </w:r>
          </w:p>
        </w:tc>
        <w:tc>
          <w:tcPr>
            <w:tcW w:w="1380" w:type="dxa"/>
            <w:vAlign w:val="bottom"/>
          </w:tcPr>
          <w:p>
            <w:pPr>
              <w:jc w:val="center"/>
              <w:ind w:left="297"/>
              <w:spacing w:after="0"/>
              <w:rPr>
                <w:sz w:val="20"/>
                <w:szCs w:val="20"/>
                <w:color w:val="auto"/>
              </w:rPr>
            </w:pPr>
            <w:r>
              <w:rPr>
                <w:rFonts w:ascii="Times New Roman" w:cs="Times New Roman" w:eastAsia="Times New Roman" w:hAnsi="Times New Roman"/>
                <w:sz w:val="17"/>
                <w:szCs w:val="17"/>
                <w:color w:val="auto"/>
                <w:w w:val="96"/>
              </w:rPr>
              <w:t>May 11, 2026</w:t>
            </w:r>
          </w:p>
        </w:tc>
      </w:tr>
      <w:tr>
        <w:trPr>
          <w:trHeight w:val="398"/>
        </w:trPr>
        <w:tc>
          <w:tcPr>
            <w:tcW w:w="640" w:type="dxa"/>
            <w:vAlign w:val="bottom"/>
          </w:tcPr>
          <w:p>
            <w:pPr>
              <w:jc w:val="center"/>
              <w:ind w:right="177"/>
              <w:spacing w:after="0"/>
              <w:rPr>
                <w:sz w:val="20"/>
                <w:szCs w:val="20"/>
                <w:color w:val="auto"/>
              </w:rPr>
            </w:pPr>
            <w:r>
              <w:rPr>
                <w:rFonts w:ascii="Times New Roman" w:cs="Times New Roman" w:eastAsia="Times New Roman" w:hAnsi="Times New Roman"/>
                <w:sz w:val="17"/>
                <w:szCs w:val="17"/>
                <w:color w:val="auto"/>
                <w:w w:val="92"/>
              </w:rPr>
              <w:t>S-1</w:t>
            </w:r>
          </w:p>
        </w:tc>
        <w:tc>
          <w:tcPr>
            <w:tcW w:w="1360" w:type="dxa"/>
            <w:vAlign w:val="bottom"/>
          </w:tcPr>
          <w:p>
            <w:pPr>
              <w:jc w:val="right"/>
              <w:ind w:right="217"/>
              <w:spacing w:after="0"/>
              <w:rPr>
                <w:sz w:val="20"/>
                <w:szCs w:val="20"/>
                <w:color w:val="auto"/>
              </w:rPr>
            </w:pPr>
            <w:r>
              <w:rPr>
                <w:rFonts w:ascii="Times New Roman" w:cs="Times New Roman" w:eastAsia="Times New Roman" w:hAnsi="Times New Roman"/>
                <w:sz w:val="17"/>
                <w:szCs w:val="17"/>
                <w:color w:val="auto"/>
              </w:rPr>
              <w:t>333-295145</w:t>
            </w:r>
          </w:p>
        </w:tc>
        <w:tc>
          <w:tcPr>
            <w:tcW w:w="11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10.3(b)</w:t>
            </w:r>
          </w:p>
        </w:tc>
        <w:tc>
          <w:tcPr>
            <w:tcW w:w="1380" w:type="dxa"/>
            <w:vAlign w:val="bottom"/>
          </w:tcPr>
          <w:p>
            <w:pPr>
              <w:jc w:val="center"/>
              <w:ind w:left="317"/>
              <w:spacing w:after="0"/>
              <w:rPr>
                <w:sz w:val="20"/>
                <w:szCs w:val="20"/>
                <w:color w:val="auto"/>
              </w:rPr>
            </w:pPr>
            <w:r>
              <w:rPr>
                <w:rFonts w:ascii="Times New Roman" w:cs="Times New Roman" w:eastAsia="Times New Roman" w:hAnsi="Times New Roman"/>
                <w:sz w:val="17"/>
                <w:szCs w:val="17"/>
                <w:color w:val="auto"/>
                <w:w w:val="98"/>
              </w:rPr>
              <w:t>April 17, 2026</w:t>
            </w:r>
          </w:p>
        </w:tc>
      </w:tr>
      <w:tr>
        <w:trPr>
          <w:trHeight w:val="386"/>
        </w:trPr>
        <w:tc>
          <w:tcPr>
            <w:tcW w:w="640" w:type="dxa"/>
            <w:vAlign w:val="bottom"/>
          </w:tcPr>
          <w:p>
            <w:pPr>
              <w:jc w:val="center"/>
              <w:ind w:right="177"/>
              <w:spacing w:after="0"/>
              <w:rPr>
                <w:sz w:val="20"/>
                <w:szCs w:val="20"/>
                <w:color w:val="auto"/>
              </w:rPr>
            </w:pPr>
            <w:r>
              <w:rPr>
                <w:rFonts w:ascii="Times New Roman" w:cs="Times New Roman" w:eastAsia="Times New Roman" w:hAnsi="Times New Roman"/>
                <w:sz w:val="17"/>
                <w:szCs w:val="17"/>
                <w:color w:val="auto"/>
                <w:w w:val="92"/>
              </w:rPr>
              <w:t>S-1</w:t>
            </w:r>
          </w:p>
        </w:tc>
        <w:tc>
          <w:tcPr>
            <w:tcW w:w="1360" w:type="dxa"/>
            <w:vAlign w:val="bottom"/>
          </w:tcPr>
          <w:p>
            <w:pPr>
              <w:jc w:val="right"/>
              <w:ind w:right="217"/>
              <w:spacing w:after="0"/>
              <w:rPr>
                <w:sz w:val="20"/>
                <w:szCs w:val="20"/>
                <w:color w:val="auto"/>
              </w:rPr>
            </w:pPr>
            <w:r>
              <w:rPr>
                <w:rFonts w:ascii="Times New Roman" w:cs="Times New Roman" w:eastAsia="Times New Roman" w:hAnsi="Times New Roman"/>
                <w:sz w:val="17"/>
                <w:szCs w:val="17"/>
                <w:color w:val="auto"/>
              </w:rPr>
              <w:t>333-295145</w:t>
            </w:r>
          </w:p>
        </w:tc>
        <w:tc>
          <w:tcPr>
            <w:tcW w:w="11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10.3(c)</w:t>
            </w:r>
          </w:p>
        </w:tc>
        <w:tc>
          <w:tcPr>
            <w:tcW w:w="1380" w:type="dxa"/>
            <w:vAlign w:val="bottom"/>
          </w:tcPr>
          <w:p>
            <w:pPr>
              <w:jc w:val="center"/>
              <w:ind w:left="317"/>
              <w:spacing w:after="0"/>
              <w:rPr>
                <w:sz w:val="20"/>
                <w:szCs w:val="20"/>
                <w:color w:val="auto"/>
              </w:rPr>
            </w:pPr>
            <w:r>
              <w:rPr>
                <w:rFonts w:ascii="Times New Roman" w:cs="Times New Roman" w:eastAsia="Times New Roman" w:hAnsi="Times New Roman"/>
                <w:sz w:val="17"/>
                <w:szCs w:val="17"/>
                <w:color w:val="auto"/>
                <w:w w:val="98"/>
              </w:rPr>
              <w:t>April 17, 2026</w:t>
            </w:r>
          </w:p>
        </w:tc>
      </w:tr>
    </w:tbl>
    <w:p>
      <w:pPr>
        <w:sectPr>
          <w:pgSz w:w="11900" w:h="16838" w:orient="portrait"/>
          <w:cols w:equalWidth="0" w:num="2">
            <w:col w:w="5960" w:space="80"/>
            <w:col w:w="5200"/>
          </w:cols>
          <w:pgMar w:left="320" w:top="1314" w:right="339" w:bottom="1440" w:gutter="0" w:footer="0" w:header="0"/>
        </w:sectPr>
      </w:pPr>
    </w:p>
    <w:bookmarkStart w:id="5" w:name="page6"/>
    <w:bookmarkEnd w:id="5"/>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auto"/>
              </w:rPr>
              <w:t>99.7#</w:t>
            </w:r>
          </w:p>
        </w:tc>
        <w:tc>
          <w:tcPr>
            <w:tcW w:w="4500" w:type="dxa"/>
            <w:vAlign w:val="bottom"/>
            <w:gridSpan w:val="3"/>
          </w:tcPr>
          <w:p>
            <w:pPr>
              <w:spacing w:after="0"/>
              <w:rPr>
                <w:rFonts w:ascii="Times New Roman" w:cs="Times New Roman" w:eastAsia="Times New Roman" w:hAnsi="Times New Roman"/>
                <w:sz w:val="17"/>
                <w:szCs w:val="17"/>
                <w:color w:val="0000FF"/>
              </w:rPr>
            </w:pPr>
            <w:hyperlink r:id="rId23">
              <w:r>
                <w:rPr>
                  <w:rFonts w:ascii="Times New Roman" w:cs="Times New Roman" w:eastAsia="Times New Roman" w:hAnsi="Times New Roman"/>
                  <w:sz w:val="17"/>
                  <w:szCs w:val="17"/>
                  <w:color w:val="0000FF"/>
                </w:rPr>
                <w:t>Cerebras Systems Inc. 2026 Employee Stock Purchase Plan</w:t>
              </w:r>
            </w:hyperlink>
          </w:p>
        </w:tc>
        <w:tc>
          <w:tcPr>
            <w:tcW w:w="120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S-1/A</w:t>
            </w:r>
          </w:p>
        </w:tc>
        <w:tc>
          <w:tcPr>
            <w:tcW w:w="1400" w:type="dxa"/>
            <w:vAlign w:val="bottom"/>
          </w:tcPr>
          <w:p>
            <w:pPr>
              <w:jc w:val="right"/>
              <w:ind w:right="257"/>
              <w:spacing w:after="0"/>
              <w:rPr>
                <w:sz w:val="20"/>
                <w:szCs w:val="20"/>
                <w:color w:val="auto"/>
              </w:rPr>
            </w:pPr>
            <w:r>
              <w:rPr>
                <w:rFonts w:ascii="Times New Roman" w:cs="Times New Roman" w:eastAsia="Times New Roman" w:hAnsi="Times New Roman"/>
                <w:sz w:val="17"/>
                <w:szCs w:val="17"/>
                <w:color w:val="auto"/>
              </w:rPr>
              <w:t>333-295145</w:t>
            </w:r>
          </w:p>
        </w:tc>
        <w:tc>
          <w:tcPr>
            <w:tcW w:w="1100" w:type="dxa"/>
            <w:vAlign w:val="bottom"/>
          </w:tcPr>
          <w:p>
            <w:pPr>
              <w:jc w:val="right"/>
              <w:ind w:right="377"/>
              <w:spacing w:after="0"/>
              <w:rPr>
                <w:sz w:val="20"/>
                <w:szCs w:val="20"/>
                <w:color w:val="auto"/>
              </w:rPr>
            </w:pPr>
            <w:r>
              <w:rPr>
                <w:rFonts w:ascii="Times New Roman" w:cs="Times New Roman" w:eastAsia="Times New Roman" w:hAnsi="Times New Roman"/>
                <w:sz w:val="17"/>
                <w:szCs w:val="17"/>
                <w:color w:val="auto"/>
              </w:rPr>
              <w:t>10.4</w:t>
            </w:r>
          </w:p>
        </w:tc>
        <w:tc>
          <w:tcPr>
            <w:tcW w:w="1380" w:type="dxa"/>
            <w:vAlign w:val="bottom"/>
          </w:tcPr>
          <w:p>
            <w:pPr>
              <w:ind w:left="460"/>
              <w:spacing w:after="0"/>
              <w:rPr>
                <w:sz w:val="20"/>
                <w:szCs w:val="20"/>
                <w:color w:val="auto"/>
              </w:rPr>
            </w:pPr>
            <w:r>
              <w:rPr>
                <w:rFonts w:ascii="Times New Roman" w:cs="Times New Roman" w:eastAsia="Times New Roman" w:hAnsi="Times New Roman"/>
                <w:sz w:val="17"/>
                <w:szCs w:val="17"/>
                <w:color w:val="auto"/>
                <w:w w:val="94"/>
              </w:rPr>
              <w:t>May 11, 2026</w:t>
            </w:r>
          </w:p>
        </w:tc>
      </w:tr>
      <w:tr>
        <w:trPr>
          <w:trHeight w:val="279"/>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auto"/>
              </w:rPr>
              <w:t>107.1*</w:t>
            </w:r>
          </w:p>
        </w:tc>
        <w:tc>
          <w:tcPr>
            <w:tcW w:w="396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rPr>
              <w:t>Filing Fee Table</w:t>
            </w:r>
          </w:p>
        </w:tc>
        <w:tc>
          <w:tcPr>
            <w:tcW w:w="5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_______________</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Filed herewith.</w:t>
      </w:r>
    </w:p>
    <w:p>
      <w:pPr>
        <w:spacing w:after="0" w:line="9" w:lineRule="exact"/>
        <w:rPr>
          <w:sz w:val="20"/>
          <w:szCs w:val="20"/>
          <w:color w:val="auto"/>
        </w:rPr>
      </w:pPr>
    </w:p>
    <w:p>
      <w:pPr>
        <w:spacing w:after="0"/>
        <w:tabs>
          <w:tab w:leader="none" w:pos="180" w:val="left"/>
        </w:tabs>
        <w:rPr>
          <w:sz w:val="20"/>
          <w:szCs w:val="20"/>
          <w:color w:val="auto"/>
        </w:rPr>
      </w:pPr>
      <w:r>
        <w:rPr>
          <w:rFonts w:ascii="Times New Roman" w:cs="Times New Roman" w:eastAsia="Times New Roman" w:hAnsi="Times New Roman"/>
          <w:sz w:val="13"/>
          <w:szCs w:val="13"/>
          <w:color w:val="auto"/>
        </w:rPr>
        <w:t>#</w:t>
        <w:tab/>
        <w:t>Indicates management contract or compensatory plan.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 Undertakings.</w:t>
      </w:r>
    </w:p>
    <w:p>
      <w:pPr>
        <w:spacing w:after="0" w:line="107" w:lineRule="exact"/>
        <w:rPr>
          <w:sz w:val="20"/>
          <w:szCs w:val="20"/>
          <w:color w:val="auto"/>
        </w:rPr>
      </w:pPr>
    </w:p>
    <w:p>
      <w:pPr>
        <w:ind w:left="820" w:hanging="522"/>
        <w:spacing w:after="0"/>
        <w:tabs>
          <w:tab w:leader="none" w:pos="8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undersigned Registrant hereby undertakes:</w:t>
      </w:r>
    </w:p>
    <w:p>
      <w:pPr>
        <w:spacing w:after="0" w:line="202" w:lineRule="exact"/>
        <w:rPr>
          <w:rFonts w:ascii="Times New Roman" w:cs="Times New Roman" w:eastAsia="Times New Roman" w:hAnsi="Times New Roman"/>
          <w:sz w:val="17"/>
          <w:szCs w:val="17"/>
          <w:color w:val="auto"/>
        </w:rPr>
      </w:pPr>
    </w:p>
    <w:p>
      <w:pPr>
        <w:ind w:left="1420" w:hanging="525"/>
        <w:spacing w:after="0"/>
        <w:tabs>
          <w:tab w:leader="none" w:pos="1420" w:val="left"/>
        </w:tabs>
        <w:numPr>
          <w:ilvl w:val="1"/>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file, during any period in which offers or sales are being made, a post-effective amendment to this Registration Statement:</w:t>
      </w:r>
    </w:p>
    <w:p>
      <w:pPr>
        <w:spacing w:after="0" w:line="202" w:lineRule="exact"/>
        <w:rPr>
          <w:rFonts w:ascii="Times New Roman" w:cs="Times New Roman" w:eastAsia="Times New Roman" w:hAnsi="Times New Roman"/>
          <w:sz w:val="17"/>
          <w:szCs w:val="17"/>
          <w:color w:val="auto"/>
        </w:rPr>
      </w:pPr>
    </w:p>
    <w:p>
      <w:pPr>
        <w:ind w:left="1480" w:hanging="286"/>
        <w:spacing w:after="0"/>
        <w:tabs>
          <w:tab w:leader="none" w:pos="1480" w:val="left"/>
        </w:tabs>
        <w:numPr>
          <w:ilvl w:val="2"/>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include any prospectus required by Section 10(a)(3) of the Securities Act;</w:t>
      </w:r>
    </w:p>
    <w:p>
      <w:pPr>
        <w:spacing w:after="0" w:line="202" w:lineRule="exact"/>
        <w:rPr>
          <w:rFonts w:ascii="Times New Roman" w:cs="Times New Roman" w:eastAsia="Times New Roman" w:hAnsi="Times New Roman"/>
          <w:sz w:val="17"/>
          <w:szCs w:val="17"/>
          <w:color w:val="auto"/>
        </w:rPr>
      </w:pPr>
    </w:p>
    <w:p>
      <w:pPr>
        <w:jc w:val="both"/>
        <w:ind w:left="1500" w:hanging="306"/>
        <w:spacing w:after="0" w:line="248" w:lineRule="auto"/>
        <w:tabs>
          <w:tab w:leader="none" w:pos="1491" w:val="left"/>
        </w:tabs>
        <w:numPr>
          <w:ilvl w:val="2"/>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178" w:lineRule="exact"/>
        <w:rPr>
          <w:rFonts w:ascii="Times New Roman" w:cs="Times New Roman" w:eastAsia="Times New Roman" w:hAnsi="Times New Roman"/>
          <w:sz w:val="17"/>
          <w:szCs w:val="17"/>
          <w:color w:val="auto"/>
        </w:rPr>
      </w:pPr>
    </w:p>
    <w:p>
      <w:pPr>
        <w:ind w:left="1500" w:hanging="306"/>
        <w:spacing w:after="0" w:line="269" w:lineRule="auto"/>
        <w:tabs>
          <w:tab w:leader="none" w:pos="1500" w:val="left"/>
        </w:tabs>
        <w:numPr>
          <w:ilvl w:val="2"/>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include any material information with respect to the plan of distribution not previously disclosed in the Registration Statement or any material change to such information in the Registration Statement;</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provided, however, that paragraphs (A)(1)(i) and (A)(1)(ii) do not apply if the information required to be included in a post-effective amendment by those paragraphs is contained in reports filed with or furnished to the SEC by the Registrant pursuant to Section 13 or Section 15(d) of the Exchange Act that are incorporated by reference in the Registration Statement.</w:t>
      </w:r>
    </w:p>
    <w:p>
      <w:pPr>
        <w:spacing w:after="0" w:line="171" w:lineRule="exact"/>
        <w:rPr>
          <w:sz w:val="20"/>
          <w:szCs w:val="20"/>
          <w:color w:val="auto"/>
        </w:rPr>
      </w:pPr>
    </w:p>
    <w:p>
      <w:pPr>
        <w:jc w:val="both"/>
        <w:ind w:left="1420" w:hanging="525"/>
        <w:spacing w:after="0" w:line="256" w:lineRule="auto"/>
        <w:tabs>
          <w:tab w:leader="none" w:pos="1414"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for the purpose of determining any liability under the Securities Act, each such post-effective amendment shall be deemed to be a new Registration Statement relating to the securities offered herein, and the offering of such securities at that time shall be deemed to be the initial bona fide offering thereof.</w:t>
      </w:r>
    </w:p>
    <w:p>
      <w:pPr>
        <w:spacing w:after="0" w:line="170" w:lineRule="exact"/>
        <w:rPr>
          <w:rFonts w:ascii="Times New Roman" w:cs="Times New Roman" w:eastAsia="Times New Roman" w:hAnsi="Times New Roman"/>
          <w:sz w:val="17"/>
          <w:szCs w:val="17"/>
          <w:color w:val="auto"/>
        </w:rPr>
      </w:pPr>
    </w:p>
    <w:p>
      <w:pPr>
        <w:ind w:left="1420" w:hanging="525"/>
        <w:spacing w:after="0" w:line="269" w:lineRule="auto"/>
        <w:tabs>
          <w:tab w:leader="none" w:pos="1414"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remove from registration by means of a post-effective amendment any of the securities being registered which remain unsold at the termination of the offering.</w:t>
      </w:r>
    </w:p>
    <w:p>
      <w:pPr>
        <w:spacing w:after="0" w:line="159" w:lineRule="exact"/>
        <w:rPr>
          <w:rFonts w:ascii="Times New Roman" w:cs="Times New Roman" w:eastAsia="Times New Roman" w:hAnsi="Times New Roman"/>
          <w:sz w:val="17"/>
          <w:szCs w:val="17"/>
          <w:color w:val="auto"/>
        </w:rPr>
      </w:pPr>
    </w:p>
    <w:p>
      <w:pPr>
        <w:jc w:val="both"/>
        <w:ind w:left="820" w:hanging="522"/>
        <w:spacing w:after="0" w:line="252" w:lineRule="auto"/>
        <w:tabs>
          <w:tab w:leader="none" w:pos="81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herein, and the offering of such securities at that time shall be deemed to be the initial bona fide offering thereof.</w:t>
      </w:r>
    </w:p>
    <w:p>
      <w:pPr>
        <w:spacing w:after="0" w:line="74" w:lineRule="exact"/>
        <w:rPr>
          <w:rFonts w:ascii="Times New Roman" w:cs="Times New Roman" w:eastAsia="Times New Roman" w:hAnsi="Times New Roman"/>
          <w:sz w:val="17"/>
          <w:szCs w:val="17"/>
          <w:color w:val="auto"/>
        </w:rPr>
      </w:pPr>
    </w:p>
    <w:p>
      <w:pPr>
        <w:jc w:val="both"/>
        <w:ind w:left="820" w:hanging="522"/>
        <w:spacing w:after="0" w:line="256" w:lineRule="auto"/>
        <w:tabs>
          <w:tab w:leader="none" w:pos="81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w:t>
      </w:r>
    </w:p>
    <w:p>
      <w:pPr>
        <w:sectPr>
          <w:pgSz w:w="11900" w:h="16838" w:orient="portrait"/>
          <w:cols w:equalWidth="0" w:num="1">
            <w:col w:w="11240"/>
          </w:cols>
          <w:pgMar w:left="320" w:top="1350" w:right="339" w:bottom="1440" w:gutter="0" w:footer="0" w:header="0"/>
        </w:sectPr>
      </w:pPr>
    </w:p>
    <w:bookmarkStart w:id="6" w:name="page7"/>
    <w:bookmarkEnd w:id="6"/>
    <w:p>
      <w:pPr>
        <w:jc w:val="both"/>
        <w:spacing w:after="0" w:line="270" w:lineRule="auto"/>
        <w:rPr>
          <w:sz w:val="20"/>
          <w:szCs w:val="20"/>
          <w:color w:val="auto"/>
        </w:rPr>
      </w:pPr>
      <w:r>
        <w:rPr>
          <w:rFonts w:ascii="Times New Roman" w:cs="Times New Roman" w:eastAsia="Times New Roman" w:hAnsi="Times New Roman"/>
          <w:sz w:val="16"/>
          <w:szCs w:val="16"/>
          <w:color w:val="auto"/>
        </w:rPr>
        <w:t>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0420"/>
          </w:cols>
          <w:pgMar w:left="1140" w:top="1318"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Sunnyvale, State of California, on this 14th day of May, 2026.</w:t>
      </w:r>
    </w:p>
    <w:p>
      <w:pPr>
        <w:spacing w:after="0" w:line="204"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7"/>
          <w:szCs w:val="17"/>
          <w:b w:val="1"/>
          <w:bCs w:val="1"/>
          <w:color w:val="auto"/>
        </w:rPr>
        <w:t>CEREBRAS SYSTEMS INC.</w:t>
      </w:r>
    </w:p>
    <w:p>
      <w:pPr>
        <w:spacing w:after="0" w:line="269" w:lineRule="exact"/>
        <w:rPr>
          <w:sz w:val="20"/>
          <w:szCs w:val="20"/>
          <w:color w:val="auto"/>
        </w:rPr>
      </w:pPr>
    </w:p>
    <w:tbl>
      <w:tblPr>
        <w:tblLayout w:type="fixed"/>
        <w:tblInd w:w="612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Andrew D. Feldman</w:t>
            </w:r>
          </w:p>
        </w:tc>
      </w:tr>
      <w:tr>
        <w:trPr>
          <w:trHeight w:val="200"/>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4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Andrew D. Feldman</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4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Executive Officer</w:t>
            </w:r>
          </w:p>
        </w:tc>
      </w:tr>
    </w:tbl>
    <w:p>
      <w:pPr>
        <w:sectPr>
          <w:pgSz w:w="11900" w:h="16838" w:orient="portrait"/>
          <w:cols w:equalWidth="0" w:num="1">
            <w:col w:w="11240"/>
          </w:cols>
          <w:pgMar w:left="320" w:top="1314"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10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KNOW ALL PERSONS BY THESE PRESENTS, that each person whose signature appears below constitutes and appoints Andrew D. Feldman, Robert Komin, and Shirley X. Li, each of them, as his or her true and lawful attorneys-in-fact and agents, each with the full power of substitution, for him or her and in their name, place, or stead, in any and all capacities, to sign any and all amendments to this Registration Statement (including post-effective amendments), and to sign any registration statement for the same offering covered by this Registration Statement that is to be effective upon filing pursuant to Rule 462(b) promulgated under the Securities Act of 1933, as amended, and all post-effective amendments thereto, and to file the same, with all exhibits thereto and other documents in connection therewith, with the SEC,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her, or their substitute or substitutes, may lawfully do or cause to be done by virtue hereof.</w:t>
      </w:r>
    </w:p>
    <w:p>
      <w:pPr>
        <w:spacing w:after="0" w:line="16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as amended, this registration statement has been signed by the following persons in the capacities and on the dates indicated.</w:t>
      </w:r>
    </w:p>
    <w:p>
      <w:pPr>
        <w:sectPr>
          <w:pgSz w:w="11900" w:h="16838" w:orient="portrait"/>
          <w:cols w:equalWidth="0" w:num="1">
            <w:col w:w="11240"/>
          </w:cols>
          <w:pgMar w:left="320" w:top="1314" w:right="339" w:bottom="1440" w:gutter="0" w:footer="0" w:header="0"/>
        </w:sectPr>
      </w:pPr>
    </w:p>
    <w:p>
      <w:pPr>
        <w:spacing w:after="0" w:line="390"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226758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extLst>
                    </a:blip>
                    <a:srcRect/>
                    <a:stretch>
                      <a:fillRect/>
                    </a:stretch>
                  </pic:blipFill>
                  <pic:spPr bwMode="auto">
                    <a:xfrm>
                      <a:off x="0" y="0"/>
                      <a:ext cx="2267585" cy="7620"/>
                    </a:xfrm>
                    <a:prstGeom prst="rect">
                      <a:avLst/>
                    </a:prstGeom>
                    <a:noFill/>
                  </pic:spPr>
                </pic:pic>
              </a:graphicData>
            </a:graphic>
          </wp:anchor>
        </w:drawing>
      </w:r>
    </w:p>
    <w:p>
      <w:pPr>
        <w:spacing w:after="0" w:line="98"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6"/>
          <w:szCs w:val="16"/>
          <w:color w:val="auto"/>
        </w:rPr>
        <w:t>/s/ Andrew D. Feldman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226758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extLst>
                    </a:blip>
                    <a:srcRect/>
                    <a:stretch>
                      <a:fillRect/>
                    </a:stretch>
                  </pic:blipFill>
                  <pic:spPr bwMode="auto">
                    <a:xfrm>
                      <a:off x="0" y="0"/>
                      <a:ext cx="2267585" cy="7620"/>
                    </a:xfrm>
                    <a:prstGeom prst="rect">
                      <a:avLst/>
                    </a:prstGeom>
                    <a:noFill/>
                  </pic:spPr>
                </pic:pic>
              </a:graphicData>
            </a:graphic>
          </wp:anchor>
        </w:drawing>
      </w:r>
    </w:p>
    <w:p>
      <w:pPr>
        <w:spacing w:after="0" w:line="32"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Andrew D. Feldman</w:t>
      </w:r>
    </w:p>
    <w:p>
      <w:pPr>
        <w:spacing w:after="0" w:line="190"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/s/ Robert Komin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226758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a:extLst>
                        <a:ext uri="{28A0092B-C50C-407E-A947-70E740481C1C}"/>
                      </a:extLst>
                    </a:blip>
                    <a:srcRect/>
                    <a:stretch>
                      <a:fillRect/>
                    </a:stretch>
                  </pic:blipFill>
                  <pic:spPr bwMode="auto">
                    <a:xfrm>
                      <a:off x="0" y="0"/>
                      <a:ext cx="2267585" cy="7620"/>
                    </a:xfrm>
                    <a:prstGeom prst="rect">
                      <a:avLst/>
                    </a:prstGeom>
                    <a:noFill/>
                  </pic:spPr>
                </pic:pic>
              </a:graphicData>
            </a:graphic>
          </wp:anchor>
        </w:drawing>
      </w:r>
    </w:p>
    <w:p>
      <w:pPr>
        <w:spacing w:after="0" w:line="21"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Robert Komin</w:t>
      </w:r>
    </w:p>
    <w:p>
      <w:pPr>
        <w:spacing w:after="0" w:line="16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/s/ Yagnesh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226758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a:extLst>
                        <a:ext uri="{28A0092B-C50C-407E-A947-70E740481C1C}"/>
                      </a:extLst>
                    </a:blip>
                    <a:srcRect/>
                    <a:stretch>
                      <a:fillRect/>
                    </a:stretch>
                  </pic:blipFill>
                  <pic:spPr bwMode="auto">
                    <a:xfrm>
                      <a:off x="0" y="0"/>
                      <a:ext cx="2267585" cy="7620"/>
                    </a:xfrm>
                    <a:prstGeom prst="rect">
                      <a:avLst/>
                    </a:prstGeom>
                    <a:noFill/>
                  </pic:spPr>
                </pic:pic>
              </a:graphicData>
            </a:graphic>
          </wp:anchor>
        </w:drawing>
      </w:r>
    </w:p>
    <w:p>
      <w:pPr>
        <w:spacing w:after="0" w:line="2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7"/>
          <w:szCs w:val="17"/>
          <w:color w:val="auto"/>
        </w:rPr>
        <w:t>Yagnesh Patel</w:t>
      </w:r>
    </w:p>
    <w:p>
      <w:pPr>
        <w:spacing w:after="0" w:line="9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7"/>
          <w:szCs w:val="17"/>
          <w:color w:val="auto"/>
        </w:rPr>
        <w:t>/s/ Paul Auvil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226758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a:extLst>
                        <a:ext uri="{28A0092B-C50C-407E-A947-70E740481C1C}"/>
                      </a:extLst>
                    </a:blip>
                    <a:srcRect/>
                    <a:stretch>
                      <a:fillRect/>
                    </a:stretch>
                  </pic:blipFill>
                  <pic:spPr bwMode="auto">
                    <a:xfrm>
                      <a:off x="0" y="0"/>
                      <a:ext cx="2267585" cy="7620"/>
                    </a:xfrm>
                    <a:prstGeom prst="rect">
                      <a:avLst/>
                    </a:prstGeom>
                    <a:noFill/>
                  </pic:spPr>
                </pic:pic>
              </a:graphicData>
            </a:graphic>
          </wp:anchor>
        </w:drawing>
      </w:r>
    </w:p>
    <w:p>
      <w:pPr>
        <w:spacing w:after="0" w:line="2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7"/>
          <w:szCs w:val="17"/>
          <w:color w:val="auto"/>
        </w:rPr>
        <w:t>Paul Auvil</w:t>
      </w:r>
    </w:p>
    <w:p>
      <w:pPr>
        <w:spacing w:after="0" w:line="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/s/ Elena Donio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226758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9">
                      <a:extLst>
                        <a:ext uri="{28A0092B-C50C-407E-A947-70E740481C1C}"/>
                      </a:extLst>
                    </a:blip>
                    <a:srcRect/>
                    <a:stretch>
                      <a:fillRect/>
                    </a:stretch>
                  </pic:blipFill>
                  <pic:spPr bwMode="auto">
                    <a:xfrm>
                      <a:off x="0" y="0"/>
                      <a:ext cx="2267585" cy="7620"/>
                    </a:xfrm>
                    <a:prstGeom prst="rect">
                      <a:avLst/>
                    </a:prstGeom>
                    <a:noFill/>
                  </pic:spPr>
                </pic:pic>
              </a:graphicData>
            </a:graphic>
          </wp:anchor>
        </w:drawing>
      </w:r>
    </w:p>
    <w:p>
      <w:pPr>
        <w:spacing w:after="0" w:line="2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7"/>
          <w:szCs w:val="17"/>
          <w:color w:val="auto"/>
        </w:rPr>
        <w:t>Elena Donio</w:t>
      </w:r>
    </w:p>
    <w:p>
      <w:pPr>
        <w:spacing w:after="0" w:line="16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7"/>
          <w:szCs w:val="17"/>
          <w:color w:val="auto"/>
        </w:rPr>
        <w:t>/s/ Lior Susan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226758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0">
                      <a:extLst>
                        <a:ext uri="{28A0092B-C50C-407E-A947-70E740481C1C}"/>
                      </a:extLst>
                    </a:blip>
                    <a:srcRect/>
                    <a:stretch>
                      <a:fillRect/>
                    </a:stretch>
                  </pic:blipFill>
                  <pic:spPr bwMode="auto">
                    <a:xfrm>
                      <a:off x="0" y="0"/>
                      <a:ext cx="2267585" cy="7620"/>
                    </a:xfrm>
                    <a:prstGeom prst="rect">
                      <a:avLst/>
                    </a:prstGeom>
                    <a:noFill/>
                  </pic:spPr>
                </pic:pic>
              </a:graphicData>
            </a:graphic>
          </wp:anchor>
        </w:drawing>
      </w:r>
    </w:p>
    <w:p>
      <w:pPr>
        <w:spacing w:after="0" w:line="21"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Lior Susan</w:t>
      </w:r>
    </w:p>
    <w:p>
      <w:pPr>
        <w:spacing w:after="0" w:line="78"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/s/ Steve Vassallo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226758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1">
                      <a:extLst>
                        <a:ext uri="{28A0092B-C50C-407E-A947-70E740481C1C}"/>
                      </a:extLst>
                    </a:blip>
                    <a:srcRect/>
                    <a:stretch>
                      <a:fillRect/>
                    </a:stretch>
                  </pic:blipFill>
                  <pic:spPr bwMode="auto">
                    <a:xfrm>
                      <a:off x="0" y="0"/>
                      <a:ext cx="2267585" cy="7620"/>
                    </a:xfrm>
                    <a:prstGeom prst="rect">
                      <a:avLst/>
                    </a:prstGeom>
                    <a:noFill/>
                  </pic:spPr>
                </pic:pic>
              </a:graphicData>
            </a:graphic>
          </wp:anchor>
        </w:drawing>
      </w:r>
    </w:p>
    <w:p>
      <w:pPr>
        <w:spacing w:after="0" w:line="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Steve Vassallo</w:t>
      </w:r>
    </w:p>
    <w:p>
      <w:pPr>
        <w:spacing w:after="0" w:line="9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7"/>
          <w:szCs w:val="17"/>
          <w:color w:val="auto"/>
        </w:rPr>
        <w:t>/s/ Eric Vishria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226758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2">
                      <a:extLst>
                        <a:ext uri="{28A0092B-C50C-407E-A947-70E740481C1C}"/>
                      </a:extLst>
                    </a:blip>
                    <a:srcRect/>
                    <a:stretch>
                      <a:fillRect/>
                    </a:stretch>
                  </pic:blipFill>
                  <pic:spPr bwMode="auto">
                    <a:xfrm>
                      <a:off x="0" y="0"/>
                      <a:ext cx="2267585" cy="7620"/>
                    </a:xfrm>
                    <a:prstGeom prst="rect">
                      <a:avLst/>
                    </a:prstGeom>
                    <a:noFill/>
                  </pic:spPr>
                </pic:pic>
              </a:graphicData>
            </a:graphic>
          </wp:anchor>
        </w:drawing>
      </w:r>
    </w:p>
    <w:p>
      <w:pPr>
        <w:spacing w:after="0" w:line="2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7"/>
          <w:szCs w:val="17"/>
          <w:color w:val="auto"/>
        </w:rPr>
        <w:t>Eric Vishria</w:t>
      </w:r>
    </w:p>
    <w:p>
      <w:pPr>
        <w:spacing w:after="0" w:line="20" w:lineRule="exact"/>
        <w:rPr>
          <w:sz w:val="20"/>
          <w:szCs w:val="20"/>
          <w:color w:val="auto"/>
        </w:rPr>
      </w:pPr>
      <w:r>
        <w:rPr>
          <w:sz w:val="20"/>
          <w:szCs w:val="20"/>
          <w:color w:val="auto"/>
        </w:rPr>
        <w:br w:type="column"/>
      </w:r>
    </w:p>
    <w:p>
      <w:pPr>
        <w:spacing w:after="0" w:line="370"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3"/>
          <w:szCs w:val="13"/>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-586740</wp:posOffset>
            </wp:positionH>
            <wp:positionV relativeFrom="paragraph">
              <wp:posOffset>29845</wp:posOffset>
            </wp:positionV>
            <wp:extent cx="320040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3">
                      <a:extLst>
                        <a:ext uri="{28A0092B-C50C-407E-A947-70E740481C1C}"/>
                      </a:extLst>
                    </a:blip>
                    <a:srcRect/>
                    <a:stretch>
                      <a:fillRect/>
                    </a:stretch>
                  </pic:blipFill>
                  <pic:spPr bwMode="auto">
                    <a:xfrm>
                      <a:off x="0" y="0"/>
                      <a:ext cx="3200400" cy="7620"/>
                    </a:xfrm>
                    <a:prstGeom prst="rect">
                      <a:avLst/>
                    </a:prstGeom>
                    <a:noFill/>
                  </pic:spPr>
                </pic:pic>
              </a:graphicData>
            </a:graphic>
          </wp:anchor>
        </w:drawing>
      </w:r>
    </w:p>
    <w:p>
      <w:pPr>
        <w:spacing w:after="0" w:line="106"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6"/>
          <w:szCs w:val="16"/>
          <w:color w:val="auto"/>
        </w:rPr>
        <w:t>Chief Executive Officer, President, and Director</w:t>
      </w:r>
    </w:p>
    <w:p>
      <w:pPr>
        <w:jc w:val="center"/>
        <w:ind w:right="1060"/>
        <w:spacing w:after="0"/>
        <w:rPr>
          <w:sz w:val="20"/>
          <w:szCs w:val="20"/>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Principal Executive Officer)</w:t>
      </w:r>
    </w:p>
    <w:p>
      <w:pPr>
        <w:spacing w:after="0" w:line="181"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7"/>
          <w:szCs w:val="17"/>
          <w:color w:val="auto"/>
        </w:rPr>
        <w:t>Chief Financial Officer</w:t>
      </w:r>
    </w:p>
    <w:p>
      <w:pPr>
        <w:jc w:val="center"/>
        <w:ind w:right="1060"/>
        <w:spacing w:after="0"/>
        <w:rPr>
          <w:sz w:val="20"/>
          <w:szCs w:val="20"/>
          <w:color w:val="auto"/>
        </w:rPr>
      </w:pPr>
      <w:r>
        <w:rPr>
          <w:rFonts w:ascii="Times New Roman" w:cs="Times New Roman" w:eastAsia="Times New Roman" w:hAnsi="Times New Roman"/>
          <w:sz w:val="17"/>
          <w:szCs w:val="17"/>
          <w:color w:val="auto"/>
        </w:rPr>
        <w:t>(Principal Financial Officer)</w:t>
      </w:r>
    </w:p>
    <w:p>
      <w:pPr>
        <w:spacing w:after="0" w:line="219"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7"/>
          <w:szCs w:val="17"/>
          <w:color w:val="auto"/>
        </w:rPr>
        <w:t>Chief Accounting Officer</w:t>
      </w:r>
    </w:p>
    <w:p>
      <w:pPr>
        <w:jc w:val="center"/>
        <w:ind w:right="1060"/>
        <w:spacing w:after="0"/>
        <w:rPr>
          <w:sz w:val="20"/>
          <w:szCs w:val="20"/>
          <w:color w:val="auto"/>
        </w:rPr>
      </w:pPr>
      <w:r>
        <w:rPr>
          <w:rFonts w:ascii="Times New Roman" w:cs="Times New Roman" w:eastAsia="Times New Roman" w:hAnsi="Times New Roman"/>
          <w:sz w:val="17"/>
          <w:szCs w:val="17"/>
          <w:color w:val="auto"/>
        </w:rPr>
        <w:t>(Principal Accounting Officer)</w:t>
      </w:r>
    </w:p>
    <w:p>
      <w:pPr>
        <w:spacing w:after="0" w:line="272"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7"/>
          <w:szCs w:val="17"/>
          <w:color w:val="auto"/>
        </w:rPr>
        <w:t>Director</w:t>
      </w:r>
    </w:p>
    <w:p>
      <w:pPr>
        <w:spacing w:after="0" w:line="327"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7"/>
          <w:szCs w:val="17"/>
          <w:color w:val="auto"/>
        </w:rPr>
        <w:t>Director</w:t>
      </w:r>
    </w:p>
    <w:p>
      <w:pPr>
        <w:spacing w:after="0" w:line="364"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7"/>
          <w:szCs w:val="17"/>
          <w:color w:val="auto"/>
        </w:rPr>
        <w:t>Director</w:t>
      </w:r>
    </w:p>
    <w:p>
      <w:pPr>
        <w:spacing w:after="0" w:line="364"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7"/>
          <w:szCs w:val="17"/>
          <w:color w:val="auto"/>
        </w:rPr>
        <w:t>Director</w:t>
      </w:r>
    </w:p>
    <w:p>
      <w:pPr>
        <w:spacing w:after="0" w:line="327"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7"/>
          <w:szCs w:val="17"/>
          <w:color w:val="auto"/>
        </w:rPr>
        <w:t>Director</w:t>
      </w:r>
    </w:p>
    <w:p>
      <w:pPr>
        <w:spacing w:after="0" w:line="20" w:lineRule="exact"/>
        <w:rPr>
          <w:sz w:val="20"/>
          <w:szCs w:val="20"/>
          <w:color w:val="auto"/>
        </w:rPr>
      </w:pPr>
      <w:r>
        <w:rPr>
          <w:sz w:val="20"/>
          <w:szCs w:val="20"/>
          <w:color w:val="auto"/>
        </w:rPr>
        <w:br w:type="column"/>
      </w:r>
    </w:p>
    <w:p>
      <w:pPr>
        <w:spacing w:after="0" w:line="3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3"/>
          <w:szCs w:val="13"/>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-469900</wp:posOffset>
            </wp:positionH>
            <wp:positionV relativeFrom="paragraph">
              <wp:posOffset>29845</wp:posOffset>
            </wp:positionV>
            <wp:extent cx="151701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4">
                      <a:extLst>
                        <a:ext uri="{28A0092B-C50C-407E-A947-70E740481C1C}"/>
                      </a:extLst>
                    </a:blip>
                    <a:srcRect/>
                    <a:stretch>
                      <a:fillRect/>
                    </a:stretch>
                  </pic:blipFill>
                  <pic:spPr bwMode="auto">
                    <a:xfrm>
                      <a:off x="0" y="0"/>
                      <a:ext cx="1517015" cy="7620"/>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May 14, 2026</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May 14, 2026</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May 14, 2026</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May 14, 2026</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May 14, 2026</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May 14, 2026</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May 14, 2026</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May 14, 2026</w:t>
      </w:r>
    </w:p>
    <w:p>
      <w:pPr>
        <w:sectPr>
          <w:pgSz w:w="11900" w:h="16838" w:orient="portrait"/>
          <w:cols w:equalWidth="0" w:num="3">
            <w:col w:w="3900" w:space="720"/>
            <w:col w:w="4260" w:space="720"/>
            <w:col w:w="1640"/>
          </w:cols>
          <w:pgMar w:left="320" w:top="1314" w:right="339" w:bottom="1440" w:gutter="0" w:footer="0" w:header="0"/>
          <w:type w:val="continuous"/>
        </w:sectPr>
      </w:pPr>
    </w:p>
    <w:bookmarkStart w:id="9" w:name="page10"/>
    <w:bookmarkEnd w:id="9"/>
    <w:p>
      <w:pPr>
        <w:spacing w:after="0" w:line="62" w:lineRule="exact"/>
        <w:rPr>
          <w:sz w:val="20"/>
          <w:szCs w:val="20"/>
          <w:color w:val="auto"/>
        </w:rPr>
      </w:pPr>
    </w:p>
    <w:p>
      <w:pPr>
        <w:ind w:left="2460"/>
        <w:spacing w:after="0"/>
        <w:rPr>
          <w:sz w:val="20"/>
          <w:szCs w:val="20"/>
          <w:color w:val="auto"/>
        </w:rPr>
      </w:pPr>
      <w:r>
        <w:rPr>
          <w:rFonts w:ascii="Arial" w:cs="Arial" w:eastAsia="Arial" w:hAnsi="Arial"/>
          <w:sz w:val="33"/>
          <w:szCs w:val="33"/>
          <w:b w:val="1"/>
          <w:bCs w:val="1"/>
          <w:color w:val="auto"/>
        </w:rPr>
        <w:t>Calculation of Filing Fee Tables</w:t>
      </w:r>
    </w:p>
    <w:p>
      <w:pPr>
        <w:spacing w:after="0" w:line="205" w:lineRule="exact"/>
        <w:rPr>
          <w:sz w:val="20"/>
          <w:szCs w:val="20"/>
          <w:color w:val="auto"/>
        </w:rPr>
      </w:pPr>
    </w:p>
    <w:p>
      <w:pPr>
        <w:ind w:left="4680"/>
        <w:spacing w:after="0"/>
        <w:rPr>
          <w:sz w:val="20"/>
          <w:szCs w:val="20"/>
          <w:color w:val="auto"/>
        </w:rPr>
      </w:pPr>
      <w:r>
        <w:rPr>
          <w:rFonts w:ascii="Arial" w:cs="Arial" w:eastAsia="Arial" w:hAnsi="Arial"/>
          <w:sz w:val="33"/>
          <w:szCs w:val="33"/>
          <w:b w:val="1"/>
          <w:bCs w:val="1"/>
          <w:color w:val="auto"/>
        </w:rPr>
        <w:t>S-8</w:t>
      </w:r>
    </w:p>
    <w:p>
      <w:pPr>
        <w:spacing w:after="0" w:line="118" w:lineRule="exact"/>
        <w:rPr>
          <w:sz w:val="20"/>
          <w:szCs w:val="20"/>
          <w:color w:val="auto"/>
        </w:rPr>
      </w:pPr>
    </w:p>
    <w:p>
      <w:pPr>
        <w:ind w:left="3160"/>
        <w:spacing w:after="0"/>
        <w:rPr>
          <w:sz w:val="20"/>
          <w:szCs w:val="20"/>
          <w:color w:val="auto"/>
        </w:rPr>
      </w:pPr>
      <w:r>
        <w:rPr>
          <w:rFonts w:ascii="Arial" w:cs="Arial" w:eastAsia="Arial" w:hAnsi="Arial"/>
          <w:sz w:val="33"/>
          <w:szCs w:val="33"/>
          <w:b w:val="1"/>
          <w:bCs w:val="1"/>
          <w:color w:val="auto"/>
        </w:rPr>
        <w:t>Cerebras Systems Inc.</w:t>
      </w:r>
    </w:p>
    <w:p>
      <w:pPr>
        <w:spacing w:after="0" w:line="153"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Table 1: Newly Registered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34290</wp:posOffset>
            </wp:positionV>
            <wp:extent cx="6428740" cy="9309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5">
                      <a:extLst>
                        <a:ext uri="{28A0092B-C50C-407E-A947-70E740481C1C}"/>
                      </a:extLst>
                    </a:blip>
                    <a:srcRect/>
                    <a:stretch>
                      <a:fillRect/>
                    </a:stretch>
                  </pic:blipFill>
                  <pic:spPr bwMode="auto">
                    <a:xfrm>
                      <a:off x="0" y="0"/>
                      <a:ext cx="6428740" cy="9309100"/>
                    </a:xfrm>
                    <a:prstGeom prst="rect">
                      <a:avLst/>
                    </a:prstGeom>
                    <a:noFill/>
                  </pic:spPr>
                </pic:pic>
              </a:graphicData>
            </a:graphic>
          </wp:anchor>
        </w:drawing>
      </w:r>
    </w:p>
    <w:p>
      <w:pPr>
        <w:spacing w:after="0" w:line="55"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vMerge w:val="restart"/>
            <w:shd w:val="clear" w:color="auto" w:fill="9ADAF6"/>
          </w:tcPr>
          <w:p>
            <w:pPr>
              <w:jc w:val="center"/>
              <w:spacing w:after="0"/>
              <w:rPr>
                <w:sz w:val="20"/>
                <w:szCs w:val="20"/>
                <w:color w:val="auto"/>
              </w:rPr>
            </w:pPr>
            <w:r>
              <w:rPr>
                <w:rFonts w:ascii="Arial" w:cs="Arial" w:eastAsia="Arial" w:hAnsi="Arial"/>
                <w:sz w:val="20"/>
                <w:szCs w:val="20"/>
                <w:b w:val="1"/>
                <w:bCs w:val="1"/>
                <w:color w:val="auto"/>
                <w:w w:val="98"/>
              </w:rPr>
              <w:t>Fee</w:t>
            </w:r>
          </w:p>
        </w:tc>
        <w:tc>
          <w:tcPr>
            <w:tcW w:w="40" w:type="dxa"/>
            <w:vAlign w:val="bottom"/>
          </w:tcPr>
          <w:p>
            <w:pPr>
              <w:spacing w:after="0"/>
              <w:rPr>
                <w:sz w:val="19"/>
                <w:szCs w:val="19"/>
                <w:color w:val="auto"/>
              </w:rPr>
            </w:pPr>
          </w:p>
        </w:tc>
        <w:tc>
          <w:tcPr>
            <w:tcW w:w="10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shd w:val="clear" w:color="auto" w:fill="9ADAF6"/>
          </w:tcPr>
          <w:p>
            <w:pPr>
              <w:jc w:val="center"/>
              <w:spacing w:after="0"/>
              <w:rPr>
                <w:sz w:val="20"/>
                <w:szCs w:val="20"/>
                <w:color w:val="auto"/>
              </w:rPr>
            </w:pPr>
            <w:r>
              <w:rPr>
                <w:rFonts w:ascii="Arial" w:cs="Arial" w:eastAsia="Arial" w:hAnsi="Arial"/>
                <w:sz w:val="20"/>
                <w:szCs w:val="20"/>
                <w:b w:val="1"/>
                <w:bCs w:val="1"/>
                <w:color w:val="auto"/>
                <w:w w:val="99"/>
              </w:rPr>
              <w:t>Proposed</w:t>
            </w:r>
          </w:p>
        </w:tc>
        <w:tc>
          <w:tcPr>
            <w:tcW w:w="20" w:type="dxa"/>
            <w:vAlign w:val="bottom"/>
          </w:tcPr>
          <w:p>
            <w:pPr>
              <w:spacing w:after="0"/>
              <w:rPr>
                <w:sz w:val="19"/>
                <w:szCs w:val="19"/>
                <w:color w:val="auto"/>
              </w:rPr>
            </w:pPr>
          </w:p>
        </w:tc>
        <w:tc>
          <w:tcPr>
            <w:tcW w:w="1700" w:type="dxa"/>
            <w:vAlign w:val="bottom"/>
            <w:vMerge w:val="restart"/>
            <w:shd w:val="clear" w:color="auto" w:fill="9ADAF6"/>
          </w:tcPr>
          <w:p>
            <w:pPr>
              <w:jc w:val="center"/>
              <w:spacing w:after="0"/>
              <w:rPr>
                <w:sz w:val="20"/>
                <w:szCs w:val="20"/>
                <w:color w:val="auto"/>
              </w:rPr>
            </w:pPr>
            <w:r>
              <w:rPr>
                <w:rFonts w:ascii="Arial" w:cs="Arial" w:eastAsia="Arial" w:hAnsi="Arial"/>
                <w:sz w:val="20"/>
                <w:szCs w:val="20"/>
                <w:b w:val="1"/>
                <w:bCs w:val="1"/>
                <w:color w:val="auto"/>
                <w:w w:val="99"/>
              </w:rPr>
              <w:t>Maximum</w:t>
            </w: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480" w:type="dxa"/>
            <w:vAlign w:val="bottom"/>
            <w:vMerge w:val="restart"/>
            <w:shd w:val="clear" w:color="auto" w:fill="9ADAF6"/>
          </w:tcPr>
          <w:p>
            <w:pPr>
              <w:jc w:val="center"/>
              <w:spacing w:after="0"/>
              <w:rPr>
                <w:sz w:val="20"/>
                <w:szCs w:val="20"/>
                <w:color w:val="auto"/>
              </w:rPr>
            </w:pPr>
            <w:r>
              <w:rPr>
                <w:rFonts w:ascii="Arial" w:cs="Arial" w:eastAsia="Arial" w:hAnsi="Arial"/>
                <w:sz w:val="20"/>
                <w:szCs w:val="20"/>
                <w:b w:val="1"/>
                <w:bCs w:val="1"/>
                <w:color w:val="auto"/>
                <w:w w:val="99"/>
              </w:rPr>
              <w:t>Amount of</w:t>
            </w:r>
          </w:p>
        </w:tc>
        <w:tc>
          <w:tcPr>
            <w:tcW w:w="0" w:type="dxa"/>
            <w:vAlign w:val="bottom"/>
          </w:tcPr>
          <w:p>
            <w:pPr>
              <w:spacing w:after="0"/>
              <w:rPr>
                <w:sz w:val="1"/>
                <w:szCs w:val="1"/>
                <w:color w:val="auto"/>
              </w:rPr>
            </w:pPr>
          </w:p>
        </w:tc>
      </w:tr>
      <w:tr>
        <w:trPr>
          <w:trHeight w:val="112"/>
        </w:trPr>
        <w:tc>
          <w:tcPr>
            <w:tcW w:w="940" w:type="dxa"/>
            <w:vAlign w:val="bottom"/>
            <w:vMerge w:val="restart"/>
            <w:shd w:val="clear" w:color="auto" w:fill="9ADAF6"/>
          </w:tcPr>
          <w:p>
            <w:pPr>
              <w:jc w:val="center"/>
              <w:spacing w:after="0" w:line="224" w:lineRule="exact"/>
              <w:rPr>
                <w:sz w:val="20"/>
                <w:szCs w:val="20"/>
                <w:color w:val="auto"/>
              </w:rPr>
            </w:pPr>
            <w:r>
              <w:rPr>
                <w:rFonts w:ascii="Arial" w:cs="Arial" w:eastAsia="Arial" w:hAnsi="Arial"/>
                <w:sz w:val="20"/>
                <w:szCs w:val="20"/>
                <w:b w:val="1"/>
                <w:bCs w:val="1"/>
                <w:color w:val="auto"/>
              </w:rPr>
              <w:t>Security</w:t>
            </w:r>
          </w:p>
        </w:tc>
        <w:tc>
          <w:tcPr>
            <w:tcW w:w="20" w:type="dxa"/>
            <w:vAlign w:val="bottom"/>
          </w:tcPr>
          <w:p>
            <w:pPr>
              <w:spacing w:after="0"/>
              <w:rPr>
                <w:sz w:val="9"/>
                <w:szCs w:val="9"/>
                <w:color w:val="auto"/>
              </w:rPr>
            </w:pPr>
          </w:p>
        </w:tc>
        <w:tc>
          <w:tcPr>
            <w:tcW w:w="1080" w:type="dxa"/>
            <w:vAlign w:val="bottom"/>
            <w:vMerge w:val="restart"/>
            <w:shd w:val="clear" w:color="auto" w:fill="9ADAF6"/>
          </w:tcPr>
          <w:p>
            <w:pPr>
              <w:jc w:val="center"/>
              <w:spacing w:after="0" w:line="224" w:lineRule="exact"/>
              <w:rPr>
                <w:sz w:val="20"/>
                <w:szCs w:val="20"/>
                <w:color w:val="auto"/>
              </w:rPr>
            </w:pPr>
            <w:r>
              <w:rPr>
                <w:rFonts w:ascii="Arial" w:cs="Arial" w:eastAsia="Arial" w:hAnsi="Arial"/>
                <w:sz w:val="20"/>
                <w:szCs w:val="20"/>
                <w:b w:val="1"/>
                <w:bCs w:val="1"/>
                <w:color w:val="auto"/>
                <w:w w:val="98"/>
              </w:rPr>
              <w:t>Security</w:t>
            </w:r>
          </w:p>
        </w:tc>
        <w:tc>
          <w:tcPr>
            <w:tcW w:w="20" w:type="dxa"/>
            <w:vAlign w:val="bottom"/>
          </w:tcPr>
          <w:p>
            <w:pPr>
              <w:spacing w:after="0"/>
              <w:rPr>
                <w:sz w:val="9"/>
                <w:szCs w:val="9"/>
                <w:color w:val="auto"/>
              </w:rPr>
            </w:pPr>
          </w:p>
        </w:tc>
        <w:tc>
          <w:tcPr>
            <w:tcW w:w="1100" w:type="dxa"/>
            <w:vAlign w:val="bottom"/>
            <w:vMerge w:val="continue"/>
            <w:shd w:val="clear" w:color="auto" w:fill="9ADAF6"/>
          </w:tcPr>
          <w:p>
            <w:pPr>
              <w:spacing w:after="0"/>
              <w:rPr>
                <w:sz w:val="9"/>
                <w:szCs w:val="9"/>
                <w:color w:val="auto"/>
              </w:rPr>
            </w:pPr>
          </w:p>
        </w:tc>
        <w:tc>
          <w:tcPr>
            <w:tcW w:w="40" w:type="dxa"/>
            <w:vAlign w:val="bottom"/>
          </w:tcPr>
          <w:p>
            <w:pPr>
              <w:spacing w:after="0"/>
              <w:rPr>
                <w:sz w:val="9"/>
                <w:szCs w:val="9"/>
                <w:color w:val="auto"/>
              </w:rPr>
            </w:pPr>
          </w:p>
        </w:tc>
        <w:tc>
          <w:tcPr>
            <w:tcW w:w="1060" w:type="dxa"/>
            <w:vAlign w:val="bottom"/>
            <w:vMerge w:val="restart"/>
            <w:shd w:val="clear" w:color="auto" w:fill="9ADAF6"/>
          </w:tcPr>
          <w:p>
            <w:pPr>
              <w:jc w:val="center"/>
              <w:spacing w:after="0" w:line="224" w:lineRule="exact"/>
              <w:rPr>
                <w:sz w:val="20"/>
                <w:szCs w:val="20"/>
                <w:color w:val="auto"/>
              </w:rPr>
            </w:pPr>
            <w:r>
              <w:rPr>
                <w:rFonts w:ascii="Arial" w:cs="Arial" w:eastAsia="Arial" w:hAnsi="Arial"/>
                <w:sz w:val="20"/>
                <w:szCs w:val="20"/>
                <w:b w:val="1"/>
                <w:bCs w:val="1"/>
                <w:color w:val="auto"/>
              </w:rPr>
              <w:t>Amount</w:t>
            </w:r>
          </w:p>
        </w:tc>
        <w:tc>
          <w:tcPr>
            <w:tcW w:w="20" w:type="dxa"/>
            <w:vAlign w:val="bottom"/>
          </w:tcPr>
          <w:p>
            <w:pPr>
              <w:spacing w:after="0"/>
              <w:rPr>
                <w:sz w:val="9"/>
                <w:szCs w:val="9"/>
                <w:color w:val="auto"/>
              </w:rPr>
            </w:pPr>
          </w:p>
        </w:tc>
        <w:tc>
          <w:tcPr>
            <w:tcW w:w="1360" w:type="dxa"/>
            <w:vAlign w:val="bottom"/>
            <w:vMerge w:val="restart"/>
            <w:shd w:val="clear" w:color="auto" w:fill="9ADAF6"/>
          </w:tcPr>
          <w:p>
            <w:pPr>
              <w:jc w:val="center"/>
              <w:spacing w:after="0" w:line="224" w:lineRule="exact"/>
              <w:rPr>
                <w:sz w:val="20"/>
                <w:szCs w:val="20"/>
                <w:color w:val="auto"/>
              </w:rPr>
            </w:pPr>
            <w:r>
              <w:rPr>
                <w:rFonts w:ascii="Arial" w:cs="Arial" w:eastAsia="Arial" w:hAnsi="Arial"/>
                <w:sz w:val="20"/>
                <w:szCs w:val="20"/>
                <w:b w:val="1"/>
                <w:bCs w:val="1"/>
                <w:color w:val="auto"/>
                <w:w w:val="99"/>
              </w:rPr>
              <w:t>Maximum</w:t>
            </w:r>
          </w:p>
        </w:tc>
        <w:tc>
          <w:tcPr>
            <w:tcW w:w="20" w:type="dxa"/>
            <w:vAlign w:val="bottom"/>
          </w:tcPr>
          <w:p>
            <w:pPr>
              <w:spacing w:after="0"/>
              <w:rPr>
                <w:sz w:val="9"/>
                <w:szCs w:val="9"/>
                <w:color w:val="auto"/>
              </w:rPr>
            </w:pPr>
          </w:p>
        </w:tc>
        <w:tc>
          <w:tcPr>
            <w:tcW w:w="170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shd w:val="clear" w:color="auto" w:fill="9ADAF6"/>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vMerge w:val="continue"/>
            <w:shd w:val="clear" w:color="auto" w:fill="9ADAF6"/>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94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08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100" w:type="dxa"/>
            <w:vAlign w:val="bottom"/>
            <w:vMerge w:val="restart"/>
            <w:shd w:val="clear" w:color="auto" w:fill="9ADAF6"/>
          </w:tcPr>
          <w:p>
            <w:pPr>
              <w:jc w:val="center"/>
              <w:spacing w:after="0"/>
              <w:rPr>
                <w:sz w:val="20"/>
                <w:szCs w:val="20"/>
                <w:color w:val="auto"/>
              </w:rPr>
            </w:pPr>
            <w:r>
              <w:rPr>
                <w:rFonts w:ascii="Arial" w:cs="Arial" w:eastAsia="Arial" w:hAnsi="Arial"/>
                <w:sz w:val="20"/>
                <w:szCs w:val="20"/>
                <w:b w:val="1"/>
                <w:bCs w:val="1"/>
                <w:color w:val="auto"/>
                <w:w w:val="98"/>
              </w:rPr>
              <w:t>Calculation</w:t>
            </w:r>
          </w:p>
        </w:tc>
        <w:tc>
          <w:tcPr>
            <w:tcW w:w="40" w:type="dxa"/>
            <w:vAlign w:val="bottom"/>
          </w:tcPr>
          <w:p>
            <w:pPr>
              <w:spacing w:after="0"/>
              <w:rPr>
                <w:sz w:val="9"/>
                <w:szCs w:val="9"/>
                <w:color w:val="auto"/>
              </w:rPr>
            </w:pPr>
          </w:p>
        </w:tc>
        <w:tc>
          <w:tcPr>
            <w:tcW w:w="106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36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vMerge w:val="restart"/>
            <w:shd w:val="clear" w:color="auto" w:fill="9ADAF6"/>
          </w:tcPr>
          <w:p>
            <w:pPr>
              <w:jc w:val="center"/>
              <w:spacing w:after="0"/>
              <w:rPr>
                <w:sz w:val="20"/>
                <w:szCs w:val="20"/>
                <w:color w:val="auto"/>
              </w:rPr>
            </w:pPr>
            <w:r>
              <w:rPr>
                <w:rFonts w:ascii="Arial" w:cs="Arial" w:eastAsia="Arial" w:hAnsi="Arial"/>
                <w:sz w:val="20"/>
                <w:szCs w:val="20"/>
                <w:b w:val="1"/>
                <w:bCs w:val="1"/>
                <w:color w:val="auto"/>
                <w:w w:val="99"/>
              </w:rPr>
              <w:t>Aggregate</w:t>
            </w:r>
          </w:p>
        </w:tc>
        <w:tc>
          <w:tcPr>
            <w:tcW w:w="20" w:type="dxa"/>
            <w:vAlign w:val="bottom"/>
          </w:tcPr>
          <w:p>
            <w:pPr>
              <w:spacing w:after="0"/>
              <w:rPr>
                <w:sz w:val="9"/>
                <w:szCs w:val="9"/>
                <w:color w:val="auto"/>
              </w:rPr>
            </w:pPr>
          </w:p>
        </w:tc>
        <w:tc>
          <w:tcPr>
            <w:tcW w:w="960" w:type="dxa"/>
            <w:vAlign w:val="bottom"/>
            <w:vMerge w:val="restart"/>
            <w:shd w:val="clear" w:color="auto" w:fill="9ADAF6"/>
          </w:tcPr>
          <w:p>
            <w:pPr>
              <w:ind w:left="60"/>
              <w:spacing w:after="0"/>
              <w:rPr>
                <w:sz w:val="20"/>
                <w:szCs w:val="20"/>
                <w:color w:val="auto"/>
              </w:rPr>
            </w:pPr>
            <w:r>
              <w:rPr>
                <w:rFonts w:ascii="Arial" w:cs="Arial" w:eastAsia="Arial" w:hAnsi="Arial"/>
                <w:sz w:val="20"/>
                <w:szCs w:val="20"/>
                <w:b w:val="1"/>
                <w:bCs w:val="1"/>
                <w:color w:val="auto"/>
              </w:rPr>
              <w:t>Fee Rate</w:t>
            </w:r>
          </w:p>
        </w:tc>
        <w:tc>
          <w:tcPr>
            <w:tcW w:w="40" w:type="dxa"/>
            <w:vAlign w:val="bottom"/>
          </w:tcPr>
          <w:p>
            <w:pPr>
              <w:spacing w:after="0"/>
              <w:rPr>
                <w:sz w:val="9"/>
                <w:szCs w:val="9"/>
                <w:color w:val="auto"/>
              </w:rPr>
            </w:pPr>
          </w:p>
        </w:tc>
        <w:tc>
          <w:tcPr>
            <w:tcW w:w="1480" w:type="dxa"/>
            <w:vAlign w:val="bottom"/>
            <w:vMerge w:val="restart"/>
            <w:shd w:val="clear" w:color="auto" w:fill="9ADAF6"/>
          </w:tcPr>
          <w:p>
            <w:pPr>
              <w:jc w:val="center"/>
              <w:spacing w:after="0"/>
              <w:rPr>
                <w:sz w:val="20"/>
                <w:szCs w:val="20"/>
                <w:color w:val="auto"/>
              </w:rPr>
            </w:pPr>
            <w:r>
              <w:rPr>
                <w:rFonts w:ascii="Arial" w:cs="Arial" w:eastAsia="Arial" w:hAnsi="Arial"/>
                <w:sz w:val="20"/>
                <w:szCs w:val="20"/>
                <w:b w:val="1"/>
                <w:bCs w:val="1"/>
                <w:color w:val="auto"/>
                <w:w w:val="99"/>
              </w:rPr>
              <w:t>Registration</w:t>
            </w:r>
          </w:p>
        </w:tc>
        <w:tc>
          <w:tcPr>
            <w:tcW w:w="0" w:type="dxa"/>
            <w:vAlign w:val="bottom"/>
          </w:tcPr>
          <w:p>
            <w:pPr>
              <w:spacing w:after="0"/>
              <w:rPr>
                <w:sz w:val="1"/>
                <w:szCs w:val="1"/>
                <w:color w:val="auto"/>
              </w:rPr>
            </w:pPr>
          </w:p>
        </w:tc>
      </w:tr>
      <w:tr>
        <w:trPr>
          <w:trHeight w:val="200"/>
        </w:trPr>
        <w:tc>
          <w:tcPr>
            <w:tcW w:w="940" w:type="dxa"/>
            <w:vAlign w:val="bottom"/>
            <w:shd w:val="clear" w:color="auto" w:fill="9ADAF6"/>
          </w:tcPr>
          <w:p>
            <w:pPr>
              <w:jc w:val="center"/>
              <w:spacing w:after="0" w:line="200" w:lineRule="exact"/>
              <w:rPr>
                <w:sz w:val="20"/>
                <w:szCs w:val="20"/>
                <w:color w:val="auto"/>
              </w:rPr>
            </w:pPr>
            <w:r>
              <w:rPr>
                <w:rFonts w:ascii="Arial" w:cs="Arial" w:eastAsia="Arial" w:hAnsi="Arial"/>
                <w:sz w:val="20"/>
                <w:szCs w:val="20"/>
                <w:b w:val="1"/>
                <w:bCs w:val="1"/>
                <w:color w:val="auto"/>
                <w:w w:val="94"/>
              </w:rPr>
              <w:t>Type</w:t>
            </w:r>
          </w:p>
        </w:tc>
        <w:tc>
          <w:tcPr>
            <w:tcW w:w="20" w:type="dxa"/>
            <w:vAlign w:val="bottom"/>
          </w:tcPr>
          <w:p>
            <w:pPr>
              <w:spacing w:after="0"/>
              <w:rPr>
                <w:sz w:val="17"/>
                <w:szCs w:val="17"/>
                <w:color w:val="auto"/>
              </w:rPr>
            </w:pPr>
          </w:p>
        </w:tc>
        <w:tc>
          <w:tcPr>
            <w:tcW w:w="1080" w:type="dxa"/>
            <w:vAlign w:val="bottom"/>
            <w:shd w:val="clear" w:color="auto" w:fill="9ADAF6"/>
          </w:tcPr>
          <w:p>
            <w:pPr>
              <w:jc w:val="center"/>
              <w:spacing w:after="0" w:line="200" w:lineRule="exact"/>
              <w:rPr>
                <w:sz w:val="20"/>
                <w:szCs w:val="20"/>
                <w:color w:val="auto"/>
              </w:rPr>
            </w:pPr>
            <w:r>
              <w:rPr>
                <w:rFonts w:ascii="Arial" w:cs="Arial" w:eastAsia="Arial" w:hAnsi="Arial"/>
                <w:sz w:val="20"/>
                <w:szCs w:val="20"/>
                <w:b w:val="1"/>
                <w:bCs w:val="1"/>
                <w:color w:val="auto"/>
                <w:w w:val="99"/>
              </w:rPr>
              <w:t>Class Title</w:t>
            </w:r>
          </w:p>
        </w:tc>
        <w:tc>
          <w:tcPr>
            <w:tcW w:w="20" w:type="dxa"/>
            <w:vAlign w:val="bottom"/>
          </w:tcPr>
          <w:p>
            <w:pPr>
              <w:spacing w:after="0"/>
              <w:rPr>
                <w:sz w:val="17"/>
                <w:szCs w:val="17"/>
                <w:color w:val="auto"/>
              </w:rPr>
            </w:pPr>
          </w:p>
        </w:tc>
        <w:tc>
          <w:tcPr>
            <w:tcW w:w="1100" w:type="dxa"/>
            <w:vAlign w:val="bottom"/>
            <w:vMerge w:val="continue"/>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shd w:val="clear" w:color="auto" w:fill="9ADAF6"/>
          </w:tcPr>
          <w:p>
            <w:pPr>
              <w:jc w:val="center"/>
              <w:spacing w:after="0" w:line="200" w:lineRule="exact"/>
              <w:rPr>
                <w:sz w:val="20"/>
                <w:szCs w:val="20"/>
                <w:color w:val="auto"/>
              </w:rPr>
            </w:pPr>
            <w:r>
              <w:rPr>
                <w:rFonts w:ascii="Arial" w:cs="Arial" w:eastAsia="Arial" w:hAnsi="Arial"/>
                <w:sz w:val="20"/>
                <w:szCs w:val="20"/>
                <w:b w:val="1"/>
                <w:bCs w:val="1"/>
                <w:color w:val="auto"/>
              </w:rPr>
              <w:t>Registered</w:t>
            </w:r>
          </w:p>
        </w:tc>
        <w:tc>
          <w:tcPr>
            <w:tcW w:w="20" w:type="dxa"/>
            <w:vAlign w:val="bottom"/>
          </w:tcPr>
          <w:p>
            <w:pPr>
              <w:spacing w:after="0"/>
              <w:rPr>
                <w:sz w:val="17"/>
                <w:szCs w:val="17"/>
                <w:color w:val="auto"/>
              </w:rPr>
            </w:pPr>
          </w:p>
        </w:tc>
        <w:tc>
          <w:tcPr>
            <w:tcW w:w="1360" w:type="dxa"/>
            <w:vAlign w:val="bottom"/>
            <w:shd w:val="clear" w:color="auto" w:fill="9ADAF6"/>
          </w:tcPr>
          <w:p>
            <w:pPr>
              <w:jc w:val="center"/>
              <w:spacing w:after="0" w:line="200" w:lineRule="exact"/>
              <w:rPr>
                <w:sz w:val="20"/>
                <w:szCs w:val="20"/>
                <w:color w:val="auto"/>
              </w:rPr>
            </w:pPr>
            <w:r>
              <w:rPr>
                <w:rFonts w:ascii="Arial" w:cs="Arial" w:eastAsia="Arial" w:hAnsi="Arial"/>
                <w:sz w:val="20"/>
                <w:szCs w:val="20"/>
                <w:b w:val="1"/>
                <w:bCs w:val="1"/>
                <w:color w:val="auto"/>
                <w:w w:val="98"/>
              </w:rPr>
              <w:t>Offering Price</w:t>
            </w:r>
          </w:p>
        </w:tc>
        <w:tc>
          <w:tcPr>
            <w:tcW w:w="20" w:type="dxa"/>
            <w:vAlign w:val="bottom"/>
          </w:tcPr>
          <w:p>
            <w:pPr>
              <w:spacing w:after="0"/>
              <w:rPr>
                <w:sz w:val="17"/>
                <w:szCs w:val="17"/>
                <w:color w:val="auto"/>
              </w:rPr>
            </w:pPr>
          </w:p>
        </w:tc>
        <w:tc>
          <w:tcPr>
            <w:tcW w:w="1700" w:type="dxa"/>
            <w:vAlign w:val="bottom"/>
            <w:vMerge w:val="continue"/>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vMerge w:val="continue"/>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vMerge w:val="continue"/>
            <w:shd w:val="clear" w:color="auto" w:fill="9ADAF6"/>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shd w:val="clear" w:color="auto" w:fill="9ADAF6"/>
          </w:tcPr>
          <w:p>
            <w:pPr>
              <w:jc w:val="center"/>
              <w:spacing w:after="0" w:line="224" w:lineRule="exact"/>
              <w:rPr>
                <w:sz w:val="20"/>
                <w:szCs w:val="20"/>
                <w:color w:val="auto"/>
              </w:rPr>
            </w:pPr>
            <w:r>
              <w:rPr>
                <w:rFonts w:ascii="Arial" w:cs="Arial" w:eastAsia="Arial" w:hAnsi="Arial"/>
                <w:sz w:val="20"/>
                <w:szCs w:val="20"/>
                <w:b w:val="1"/>
                <w:bCs w:val="1"/>
                <w:color w:val="auto"/>
                <w:w w:val="96"/>
              </w:rPr>
              <w:t>Rule</w:t>
            </w:r>
          </w:p>
        </w:tc>
        <w:tc>
          <w:tcPr>
            <w:tcW w:w="40" w:type="dxa"/>
            <w:vAlign w:val="bottom"/>
          </w:tcPr>
          <w:p>
            <w:pPr>
              <w:spacing w:after="0"/>
              <w:rPr>
                <w:sz w:val="19"/>
                <w:szCs w:val="19"/>
                <w:color w:val="auto"/>
              </w:rPr>
            </w:pPr>
          </w:p>
        </w:tc>
        <w:tc>
          <w:tcPr>
            <w:tcW w:w="10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vMerge w:val="restart"/>
            <w:shd w:val="clear" w:color="auto" w:fill="9ADAF6"/>
          </w:tcPr>
          <w:p>
            <w:pPr>
              <w:jc w:val="center"/>
              <w:spacing w:after="0"/>
              <w:rPr>
                <w:sz w:val="20"/>
                <w:szCs w:val="20"/>
                <w:color w:val="auto"/>
              </w:rPr>
            </w:pPr>
            <w:r>
              <w:rPr>
                <w:rFonts w:ascii="Arial" w:cs="Arial" w:eastAsia="Arial" w:hAnsi="Arial"/>
                <w:sz w:val="20"/>
                <w:szCs w:val="20"/>
                <w:b w:val="1"/>
                <w:bCs w:val="1"/>
                <w:color w:val="auto"/>
              </w:rPr>
              <w:t>Per Unit</w:t>
            </w:r>
          </w:p>
        </w:tc>
        <w:tc>
          <w:tcPr>
            <w:tcW w:w="20" w:type="dxa"/>
            <w:vAlign w:val="bottom"/>
          </w:tcPr>
          <w:p>
            <w:pPr>
              <w:spacing w:after="0"/>
              <w:rPr>
                <w:sz w:val="19"/>
                <w:szCs w:val="19"/>
                <w:color w:val="auto"/>
              </w:rPr>
            </w:pPr>
          </w:p>
        </w:tc>
        <w:tc>
          <w:tcPr>
            <w:tcW w:w="1700" w:type="dxa"/>
            <w:vAlign w:val="bottom"/>
            <w:shd w:val="clear" w:color="auto" w:fill="9ADAF6"/>
          </w:tcPr>
          <w:p>
            <w:pPr>
              <w:jc w:val="center"/>
              <w:spacing w:after="0" w:line="224" w:lineRule="exact"/>
              <w:rPr>
                <w:sz w:val="20"/>
                <w:szCs w:val="20"/>
                <w:color w:val="auto"/>
              </w:rPr>
            </w:pPr>
            <w:r>
              <w:rPr>
                <w:rFonts w:ascii="Arial" w:cs="Arial" w:eastAsia="Arial" w:hAnsi="Arial"/>
                <w:sz w:val="20"/>
                <w:szCs w:val="20"/>
                <w:b w:val="1"/>
                <w:bCs w:val="1"/>
                <w:color w:val="auto"/>
                <w:w w:val="99"/>
              </w:rPr>
              <w:t>Offering Price</w:t>
            </w: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480" w:type="dxa"/>
            <w:vAlign w:val="bottom"/>
            <w:shd w:val="clear" w:color="auto" w:fill="9ADAF6"/>
          </w:tcPr>
          <w:p>
            <w:pPr>
              <w:jc w:val="center"/>
              <w:spacing w:after="0" w:line="224" w:lineRule="exact"/>
              <w:rPr>
                <w:sz w:val="20"/>
                <w:szCs w:val="20"/>
                <w:color w:val="auto"/>
              </w:rPr>
            </w:pPr>
            <w:r>
              <w:rPr>
                <w:rFonts w:ascii="Arial" w:cs="Arial" w:eastAsia="Arial" w:hAnsi="Arial"/>
                <w:sz w:val="20"/>
                <w:szCs w:val="20"/>
                <w:b w:val="1"/>
                <w:bCs w:val="1"/>
                <w:color w:val="auto"/>
                <w:w w:val="98"/>
              </w:rPr>
              <w:t>Fee</w:t>
            </w:r>
          </w:p>
        </w:tc>
        <w:tc>
          <w:tcPr>
            <w:tcW w:w="0" w:type="dxa"/>
            <w:vAlign w:val="bottom"/>
          </w:tcPr>
          <w:p>
            <w:pPr>
              <w:spacing w:after="0"/>
              <w:rPr>
                <w:sz w:val="1"/>
                <w:szCs w:val="1"/>
                <w:color w:val="auto"/>
              </w:rPr>
            </w:pPr>
          </w:p>
        </w:tc>
      </w:tr>
      <w:tr>
        <w:trPr>
          <w:trHeight w:val="62"/>
        </w:trPr>
        <w:tc>
          <w:tcPr>
            <w:tcW w:w="94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08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100" w:type="dxa"/>
            <w:vAlign w:val="bottom"/>
            <w:shd w:val="clear" w:color="auto" w:fill="9ADAF6"/>
          </w:tcPr>
          <w:p>
            <w:pPr>
              <w:spacing w:after="0"/>
              <w:rPr>
                <w:sz w:val="5"/>
                <w:szCs w:val="5"/>
                <w:color w:val="auto"/>
              </w:rPr>
            </w:pPr>
          </w:p>
        </w:tc>
        <w:tc>
          <w:tcPr>
            <w:tcW w:w="40" w:type="dxa"/>
            <w:vAlign w:val="bottom"/>
          </w:tcPr>
          <w:p>
            <w:pPr>
              <w:spacing w:after="0"/>
              <w:rPr>
                <w:sz w:val="5"/>
                <w:szCs w:val="5"/>
                <w:color w:val="auto"/>
              </w:rPr>
            </w:pPr>
          </w:p>
        </w:tc>
        <w:tc>
          <w:tcPr>
            <w:tcW w:w="106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360" w:type="dxa"/>
            <w:vAlign w:val="bottom"/>
            <w:vMerge w:val="continue"/>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70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shd w:val="clear" w:color="auto" w:fill="9ADAF6"/>
          </w:tcPr>
          <w:p>
            <w:pPr>
              <w:spacing w:after="0"/>
              <w:rPr>
                <w:sz w:val="5"/>
                <w:szCs w:val="5"/>
                <w:color w:val="auto"/>
              </w:rPr>
            </w:pPr>
          </w:p>
        </w:tc>
        <w:tc>
          <w:tcPr>
            <w:tcW w:w="40" w:type="dxa"/>
            <w:vAlign w:val="bottom"/>
          </w:tcPr>
          <w:p>
            <w:pPr>
              <w:spacing w:after="0"/>
              <w:rPr>
                <w:sz w:val="5"/>
                <w:szCs w:val="5"/>
                <w:color w:val="auto"/>
              </w:rPr>
            </w:pPr>
          </w:p>
        </w:tc>
        <w:tc>
          <w:tcPr>
            <w:tcW w:w="1480" w:type="dxa"/>
            <w:vAlign w:val="bottom"/>
            <w:shd w:val="clear" w:color="auto" w:fill="9ADAF6"/>
          </w:tcPr>
          <w:p>
            <w:pPr>
              <w:spacing w:after="0"/>
              <w:rPr>
                <w:sz w:val="5"/>
                <w:szCs w:val="5"/>
                <w:color w:val="auto"/>
              </w:rPr>
            </w:pPr>
          </w:p>
        </w:tc>
        <w:tc>
          <w:tcPr>
            <w:tcW w:w="0" w:type="dxa"/>
            <w:vAlign w:val="bottom"/>
          </w:tcPr>
          <w:p>
            <w:pPr>
              <w:spacing w:after="0"/>
              <w:rPr>
                <w:sz w:val="1"/>
                <w:szCs w:val="1"/>
                <w:color w:val="auto"/>
              </w:rPr>
            </w:pPr>
          </w:p>
        </w:tc>
      </w:tr>
    </w:tbl>
    <w:p>
      <w:pPr>
        <w:spacing w:after="0" w:line="11" w:lineRule="exact"/>
        <w:rPr>
          <w:sz w:val="20"/>
          <w:szCs w:val="20"/>
          <w:color w:val="auto"/>
        </w:rPr>
      </w:pPr>
    </w:p>
    <w:p>
      <w:pPr>
        <w:sectPr>
          <w:pgSz w:w="11900" w:h="16900" w:orient="portrait"/>
          <w:cols w:equalWidth="0" w:num="1">
            <w:col w:w="10040"/>
          </w:cols>
          <w:pgMar w:left="940" w:top="141" w:right="9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color w:val="auto"/>
        </w:rPr>
        <w:t>1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20"/>
          <w:szCs w:val="20"/>
          <w:color w:val="auto"/>
        </w:rPr>
        <w:t>2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color w:val="auto"/>
        </w:rPr>
        <w:t>3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color w:val="auto"/>
        </w:rPr>
        <w:t>4 Equity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Class B</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common</w:t>
      </w:r>
    </w:p>
    <w:p>
      <w:pPr>
        <w:spacing w:after="0" w:line="233" w:lineRule="auto"/>
        <w:rPr>
          <w:sz w:val="20"/>
          <w:szCs w:val="20"/>
          <w:color w:val="auto"/>
        </w:rPr>
      </w:pPr>
      <w:r>
        <w:rPr>
          <w:rFonts w:ascii="Arial" w:cs="Arial" w:eastAsia="Arial" w:hAnsi="Arial"/>
          <w:sz w:val="20"/>
          <w:szCs w:val="20"/>
          <w:color w:val="auto"/>
        </w:rPr>
        <w:t>stock, par</w:t>
      </w:r>
    </w:p>
    <w:p>
      <w:pPr>
        <w:spacing w:after="0" w:line="234" w:lineRule="auto"/>
        <w:rPr>
          <w:sz w:val="20"/>
          <w:szCs w:val="20"/>
          <w:color w:val="auto"/>
        </w:rPr>
      </w:pPr>
      <w:r>
        <w:rPr>
          <w:rFonts w:ascii="Arial" w:cs="Arial" w:eastAsia="Arial" w:hAnsi="Arial"/>
          <w:sz w:val="20"/>
          <w:szCs w:val="20"/>
          <w:color w:val="auto"/>
        </w:rPr>
        <w:t>value</w:t>
      </w:r>
    </w:p>
    <w:p>
      <w:pPr>
        <w:spacing w:after="0" w:line="234" w:lineRule="auto"/>
        <w:rPr>
          <w:sz w:val="20"/>
          <w:szCs w:val="20"/>
          <w:color w:val="auto"/>
        </w:rPr>
      </w:pPr>
      <w:r>
        <w:rPr>
          <w:rFonts w:ascii="Arial" w:cs="Arial" w:eastAsia="Arial" w:hAnsi="Arial"/>
          <w:sz w:val="20"/>
          <w:szCs w:val="20"/>
          <w:color w:val="auto"/>
        </w:rPr>
        <w:t>$0.00001</w:t>
      </w:r>
    </w:p>
    <w:p>
      <w:pPr>
        <w:spacing w:after="0" w:line="233" w:lineRule="auto"/>
        <w:rPr>
          <w:sz w:val="20"/>
          <w:szCs w:val="20"/>
          <w:color w:val="auto"/>
        </w:rPr>
      </w:pPr>
      <w:r>
        <w:rPr>
          <w:rFonts w:ascii="Arial" w:cs="Arial" w:eastAsia="Arial" w:hAnsi="Arial"/>
          <w:sz w:val="20"/>
          <w:szCs w:val="20"/>
          <w:color w:val="auto"/>
        </w:rPr>
        <w:t>per share</w:t>
      </w:r>
    </w:p>
    <w:p>
      <w:pPr>
        <w:spacing w:after="0" w:line="234" w:lineRule="auto"/>
        <w:rPr>
          <w:sz w:val="20"/>
          <w:szCs w:val="20"/>
          <w:color w:val="auto"/>
        </w:rPr>
      </w:pPr>
      <w:r>
        <w:rPr>
          <w:rFonts w:ascii="Arial" w:cs="Arial" w:eastAsia="Arial" w:hAnsi="Arial"/>
          <w:sz w:val="20"/>
          <w:szCs w:val="20"/>
          <w:color w:val="auto"/>
        </w:rPr>
        <w:t>("Class B</w:t>
      </w:r>
    </w:p>
    <w:p>
      <w:pPr>
        <w:spacing w:after="0" w:line="234" w:lineRule="auto"/>
        <w:rPr>
          <w:sz w:val="20"/>
          <w:szCs w:val="20"/>
          <w:color w:val="auto"/>
        </w:rPr>
      </w:pPr>
      <w:r>
        <w:rPr>
          <w:rFonts w:ascii="Arial" w:cs="Arial" w:eastAsia="Arial" w:hAnsi="Arial"/>
          <w:sz w:val="20"/>
          <w:szCs w:val="20"/>
          <w:color w:val="auto"/>
        </w:rPr>
        <w:t>Common</w:t>
      </w:r>
    </w:p>
    <w:p>
      <w:pPr>
        <w:spacing w:after="0" w:line="234" w:lineRule="auto"/>
        <w:rPr>
          <w:sz w:val="20"/>
          <w:szCs w:val="20"/>
          <w:color w:val="auto"/>
        </w:rPr>
      </w:pPr>
      <w:r>
        <w:rPr>
          <w:rFonts w:ascii="Arial" w:cs="Arial" w:eastAsia="Arial" w:hAnsi="Arial"/>
          <w:sz w:val="20"/>
          <w:szCs w:val="20"/>
          <w:color w:val="auto"/>
        </w:rPr>
        <w:t>Stock"),</w:t>
      </w:r>
    </w:p>
    <w:p>
      <w:pPr>
        <w:spacing w:after="0" w:line="233" w:lineRule="auto"/>
        <w:rPr>
          <w:sz w:val="20"/>
          <w:szCs w:val="20"/>
          <w:color w:val="auto"/>
        </w:rPr>
      </w:pPr>
      <w:r>
        <w:rPr>
          <w:rFonts w:ascii="Arial" w:cs="Arial" w:eastAsia="Arial" w:hAnsi="Arial"/>
          <w:sz w:val="20"/>
          <w:szCs w:val="20"/>
          <w:color w:val="auto"/>
        </w:rPr>
        <w:t>reserved</w:t>
      </w:r>
    </w:p>
    <w:p>
      <w:pPr>
        <w:spacing w:after="0" w:line="234" w:lineRule="auto"/>
        <w:rPr>
          <w:sz w:val="20"/>
          <w:szCs w:val="20"/>
          <w:color w:val="auto"/>
        </w:rPr>
      </w:pPr>
      <w:r>
        <w:rPr>
          <w:rFonts w:ascii="Arial" w:cs="Arial" w:eastAsia="Arial" w:hAnsi="Arial"/>
          <w:sz w:val="20"/>
          <w:szCs w:val="20"/>
          <w:color w:val="auto"/>
        </w:rPr>
        <w:t>for</w:t>
      </w:r>
    </w:p>
    <w:p>
      <w:pPr>
        <w:spacing w:after="0" w:line="234" w:lineRule="auto"/>
        <w:rPr>
          <w:sz w:val="20"/>
          <w:szCs w:val="20"/>
          <w:color w:val="auto"/>
        </w:rPr>
      </w:pPr>
      <w:r>
        <w:rPr>
          <w:rFonts w:ascii="Arial" w:cs="Arial" w:eastAsia="Arial" w:hAnsi="Arial"/>
          <w:sz w:val="20"/>
          <w:szCs w:val="20"/>
          <w:color w:val="auto"/>
        </w:rPr>
        <w:t>issuance</w:t>
      </w:r>
    </w:p>
    <w:p>
      <w:pPr>
        <w:spacing w:after="0" w:line="234" w:lineRule="auto"/>
        <w:rPr>
          <w:sz w:val="20"/>
          <w:szCs w:val="20"/>
          <w:color w:val="auto"/>
        </w:rPr>
      </w:pPr>
      <w:r>
        <w:rPr>
          <w:rFonts w:ascii="Arial" w:cs="Arial" w:eastAsia="Arial" w:hAnsi="Arial"/>
          <w:sz w:val="20"/>
          <w:szCs w:val="20"/>
          <w:color w:val="auto"/>
        </w:rPr>
        <w:t>pursuant to</w:t>
      </w:r>
    </w:p>
    <w:p>
      <w:pPr>
        <w:spacing w:after="0" w:line="233" w:lineRule="auto"/>
        <w:rPr>
          <w:sz w:val="20"/>
          <w:szCs w:val="20"/>
          <w:color w:val="auto"/>
        </w:rPr>
      </w:pPr>
      <w:r>
        <w:rPr>
          <w:rFonts w:ascii="Arial" w:cs="Arial" w:eastAsia="Arial" w:hAnsi="Arial"/>
          <w:sz w:val="20"/>
          <w:szCs w:val="20"/>
          <w:color w:val="auto"/>
        </w:rPr>
        <w:t>restricted</w:t>
      </w:r>
    </w:p>
    <w:p>
      <w:pPr>
        <w:spacing w:after="0" w:line="234" w:lineRule="auto"/>
        <w:rPr>
          <w:sz w:val="20"/>
          <w:szCs w:val="20"/>
          <w:color w:val="auto"/>
        </w:rPr>
      </w:pPr>
      <w:r>
        <w:rPr>
          <w:rFonts w:ascii="Arial" w:cs="Arial" w:eastAsia="Arial" w:hAnsi="Arial"/>
          <w:sz w:val="20"/>
          <w:szCs w:val="20"/>
          <w:color w:val="auto"/>
        </w:rPr>
        <w:t>stock units</w:t>
      </w:r>
    </w:p>
    <w:p>
      <w:pPr>
        <w:spacing w:after="0" w:line="234" w:lineRule="auto"/>
        <w:rPr>
          <w:sz w:val="20"/>
          <w:szCs w:val="20"/>
          <w:color w:val="auto"/>
        </w:rPr>
      </w:pPr>
      <w:r>
        <w:rPr>
          <w:rFonts w:ascii="Arial" w:cs="Arial" w:eastAsia="Arial" w:hAnsi="Arial"/>
          <w:sz w:val="20"/>
          <w:szCs w:val="20"/>
          <w:color w:val="auto"/>
        </w:rPr>
        <w:t>outstanding</w:t>
      </w:r>
    </w:p>
    <w:p>
      <w:pPr>
        <w:spacing w:after="0" w:line="234" w:lineRule="auto"/>
        <w:rPr>
          <w:sz w:val="20"/>
          <w:szCs w:val="20"/>
          <w:color w:val="auto"/>
        </w:rPr>
      </w:pPr>
      <w:r>
        <w:rPr>
          <w:rFonts w:ascii="Arial" w:cs="Arial" w:eastAsia="Arial" w:hAnsi="Arial"/>
          <w:sz w:val="20"/>
          <w:szCs w:val="20"/>
          <w:color w:val="auto"/>
        </w:rPr>
        <w:t>under the</w:t>
      </w:r>
    </w:p>
    <w:p>
      <w:pPr>
        <w:spacing w:after="0"/>
        <w:rPr>
          <w:sz w:val="20"/>
          <w:szCs w:val="20"/>
          <w:color w:val="auto"/>
        </w:rPr>
      </w:pPr>
      <w:r>
        <w:rPr>
          <w:rFonts w:ascii="Arial" w:cs="Arial" w:eastAsia="Arial" w:hAnsi="Arial"/>
          <w:sz w:val="19"/>
          <w:szCs w:val="19"/>
          <w:color w:val="auto"/>
        </w:rPr>
        <w:t>Registrant's</w:t>
      </w:r>
    </w:p>
    <w:p>
      <w:pPr>
        <w:spacing w:after="0"/>
        <w:rPr>
          <w:sz w:val="20"/>
          <w:szCs w:val="20"/>
          <w:color w:val="auto"/>
        </w:rPr>
      </w:pPr>
      <w:r>
        <w:rPr>
          <w:rFonts w:ascii="Arial" w:cs="Arial" w:eastAsia="Arial" w:hAnsi="Arial"/>
          <w:sz w:val="20"/>
          <w:szCs w:val="20"/>
          <w:color w:val="auto"/>
        </w:rPr>
        <w:t>2016</w:t>
      </w:r>
    </w:p>
    <w:p>
      <w:pPr>
        <w:spacing w:after="0" w:line="233" w:lineRule="auto"/>
        <w:rPr>
          <w:sz w:val="20"/>
          <w:szCs w:val="20"/>
          <w:color w:val="auto"/>
        </w:rPr>
      </w:pPr>
      <w:r>
        <w:rPr>
          <w:rFonts w:ascii="Arial" w:cs="Arial" w:eastAsia="Arial" w:hAnsi="Arial"/>
          <w:sz w:val="20"/>
          <w:szCs w:val="20"/>
          <w:color w:val="auto"/>
        </w:rPr>
        <w:t>Incentive</w:t>
      </w:r>
    </w:p>
    <w:p>
      <w:pPr>
        <w:spacing w:after="0" w:line="234" w:lineRule="auto"/>
        <w:rPr>
          <w:sz w:val="20"/>
          <w:szCs w:val="20"/>
          <w:color w:val="auto"/>
        </w:rPr>
      </w:pPr>
      <w:r>
        <w:rPr>
          <w:rFonts w:ascii="Arial" w:cs="Arial" w:eastAsia="Arial" w:hAnsi="Arial"/>
          <w:sz w:val="20"/>
          <w:szCs w:val="20"/>
          <w:color w:val="auto"/>
        </w:rPr>
        <w:t>Award Plan</w:t>
      </w:r>
    </w:p>
    <w:p>
      <w:pPr>
        <w:spacing w:after="0" w:line="234" w:lineRule="auto"/>
        <w:rPr>
          <w:sz w:val="20"/>
          <w:szCs w:val="20"/>
          <w:color w:val="auto"/>
        </w:rPr>
      </w:pPr>
      <w:r>
        <w:rPr>
          <w:rFonts w:ascii="Arial" w:cs="Arial" w:eastAsia="Arial" w:hAnsi="Arial"/>
          <w:sz w:val="20"/>
          <w:szCs w:val="20"/>
          <w:color w:val="auto"/>
        </w:rPr>
        <w:t>(the "2016</w:t>
      </w:r>
    </w:p>
    <w:p>
      <w:pPr>
        <w:spacing w:after="0"/>
        <w:rPr>
          <w:sz w:val="20"/>
          <w:szCs w:val="20"/>
          <w:color w:val="auto"/>
        </w:rPr>
      </w:pPr>
      <w:r>
        <w:rPr>
          <w:rFonts w:ascii="Arial" w:cs="Arial" w:eastAsia="Arial" w:hAnsi="Arial"/>
          <w:sz w:val="20"/>
          <w:szCs w:val="20"/>
          <w:color w:val="auto"/>
        </w:rPr>
        <w:t>Plan")</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color w:val="auto"/>
        </w:rPr>
        <w:t>Class B</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Common</w:t>
      </w:r>
    </w:p>
    <w:p>
      <w:pPr>
        <w:spacing w:after="0" w:line="233" w:lineRule="auto"/>
        <w:rPr>
          <w:sz w:val="20"/>
          <w:szCs w:val="20"/>
          <w:color w:val="auto"/>
        </w:rPr>
      </w:pPr>
      <w:r>
        <w:rPr>
          <w:rFonts w:ascii="Arial" w:cs="Arial" w:eastAsia="Arial" w:hAnsi="Arial"/>
          <w:sz w:val="20"/>
          <w:szCs w:val="20"/>
          <w:color w:val="auto"/>
        </w:rPr>
        <w:t>Stock</w:t>
      </w:r>
    </w:p>
    <w:p>
      <w:pPr>
        <w:spacing w:after="0" w:line="234" w:lineRule="auto"/>
        <w:rPr>
          <w:sz w:val="20"/>
          <w:szCs w:val="20"/>
          <w:color w:val="auto"/>
        </w:rPr>
      </w:pPr>
      <w:r>
        <w:rPr>
          <w:rFonts w:ascii="Arial" w:cs="Arial" w:eastAsia="Arial" w:hAnsi="Arial"/>
          <w:sz w:val="20"/>
          <w:szCs w:val="20"/>
          <w:color w:val="auto"/>
        </w:rPr>
        <w:t>reserved</w:t>
      </w:r>
    </w:p>
    <w:p>
      <w:pPr>
        <w:spacing w:after="0" w:line="234" w:lineRule="auto"/>
        <w:rPr>
          <w:sz w:val="20"/>
          <w:szCs w:val="20"/>
          <w:color w:val="auto"/>
        </w:rPr>
      </w:pPr>
      <w:r>
        <w:rPr>
          <w:rFonts w:ascii="Arial" w:cs="Arial" w:eastAsia="Arial" w:hAnsi="Arial"/>
          <w:sz w:val="20"/>
          <w:szCs w:val="20"/>
          <w:color w:val="auto"/>
        </w:rPr>
        <w:t>for</w:t>
      </w:r>
    </w:p>
    <w:p>
      <w:pPr>
        <w:spacing w:after="0" w:line="233" w:lineRule="auto"/>
        <w:rPr>
          <w:sz w:val="20"/>
          <w:szCs w:val="20"/>
          <w:color w:val="auto"/>
        </w:rPr>
      </w:pPr>
      <w:r>
        <w:rPr>
          <w:rFonts w:ascii="Arial" w:cs="Arial" w:eastAsia="Arial" w:hAnsi="Arial"/>
          <w:sz w:val="20"/>
          <w:szCs w:val="20"/>
          <w:color w:val="auto"/>
        </w:rPr>
        <w:t>issuance</w:t>
      </w:r>
    </w:p>
    <w:p>
      <w:pPr>
        <w:spacing w:after="0" w:line="234" w:lineRule="auto"/>
        <w:rPr>
          <w:sz w:val="20"/>
          <w:szCs w:val="20"/>
          <w:color w:val="auto"/>
        </w:rPr>
      </w:pPr>
      <w:r>
        <w:rPr>
          <w:rFonts w:ascii="Arial" w:cs="Arial" w:eastAsia="Arial" w:hAnsi="Arial"/>
          <w:sz w:val="20"/>
          <w:szCs w:val="20"/>
          <w:color w:val="auto"/>
        </w:rPr>
        <w:t>upon the</w:t>
      </w:r>
    </w:p>
    <w:p>
      <w:pPr>
        <w:spacing w:after="0" w:line="234" w:lineRule="auto"/>
        <w:rPr>
          <w:sz w:val="20"/>
          <w:szCs w:val="20"/>
          <w:color w:val="auto"/>
        </w:rPr>
      </w:pPr>
      <w:r>
        <w:rPr>
          <w:rFonts w:ascii="Arial" w:cs="Arial" w:eastAsia="Arial" w:hAnsi="Arial"/>
          <w:sz w:val="20"/>
          <w:szCs w:val="20"/>
          <w:color w:val="auto"/>
        </w:rPr>
        <w:t>exercise of</w:t>
      </w:r>
    </w:p>
    <w:p>
      <w:pPr>
        <w:spacing w:after="0" w:line="234" w:lineRule="auto"/>
        <w:rPr>
          <w:sz w:val="20"/>
          <w:szCs w:val="20"/>
          <w:color w:val="auto"/>
        </w:rPr>
      </w:pPr>
      <w:r>
        <w:rPr>
          <w:rFonts w:ascii="Arial" w:cs="Arial" w:eastAsia="Arial" w:hAnsi="Arial"/>
          <w:sz w:val="20"/>
          <w:szCs w:val="20"/>
          <w:color w:val="auto"/>
        </w:rPr>
        <w:t>options</w:t>
      </w:r>
    </w:p>
    <w:p>
      <w:pPr>
        <w:spacing w:after="0" w:line="233" w:lineRule="auto"/>
        <w:rPr>
          <w:sz w:val="20"/>
          <w:szCs w:val="20"/>
          <w:color w:val="auto"/>
        </w:rPr>
      </w:pPr>
      <w:r>
        <w:rPr>
          <w:rFonts w:ascii="Arial" w:cs="Arial" w:eastAsia="Arial" w:hAnsi="Arial"/>
          <w:sz w:val="20"/>
          <w:szCs w:val="20"/>
          <w:color w:val="auto"/>
        </w:rPr>
        <w:t>outstanding</w:t>
      </w:r>
    </w:p>
    <w:p>
      <w:pPr>
        <w:spacing w:after="0" w:line="234" w:lineRule="auto"/>
        <w:rPr>
          <w:sz w:val="20"/>
          <w:szCs w:val="20"/>
          <w:color w:val="auto"/>
        </w:rPr>
      </w:pPr>
      <w:r>
        <w:rPr>
          <w:rFonts w:ascii="Arial" w:cs="Arial" w:eastAsia="Arial" w:hAnsi="Arial"/>
          <w:sz w:val="20"/>
          <w:szCs w:val="20"/>
          <w:color w:val="auto"/>
        </w:rPr>
        <w:t>under the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2016 Plan</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color w:val="auto"/>
        </w:rPr>
        <w:t>Class A</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common</w:t>
      </w:r>
    </w:p>
    <w:p>
      <w:pPr>
        <w:spacing w:after="0" w:line="233" w:lineRule="auto"/>
        <w:rPr>
          <w:sz w:val="20"/>
          <w:szCs w:val="20"/>
          <w:color w:val="auto"/>
        </w:rPr>
      </w:pPr>
      <w:r>
        <w:rPr>
          <w:rFonts w:ascii="Arial" w:cs="Arial" w:eastAsia="Arial" w:hAnsi="Arial"/>
          <w:sz w:val="20"/>
          <w:szCs w:val="20"/>
          <w:color w:val="auto"/>
        </w:rPr>
        <w:t>stock, par</w:t>
      </w:r>
    </w:p>
    <w:p>
      <w:pPr>
        <w:spacing w:after="0" w:line="234" w:lineRule="auto"/>
        <w:rPr>
          <w:sz w:val="20"/>
          <w:szCs w:val="20"/>
          <w:color w:val="auto"/>
        </w:rPr>
      </w:pPr>
      <w:r>
        <w:rPr>
          <w:rFonts w:ascii="Arial" w:cs="Arial" w:eastAsia="Arial" w:hAnsi="Arial"/>
          <w:sz w:val="20"/>
          <w:szCs w:val="20"/>
          <w:color w:val="auto"/>
        </w:rPr>
        <w:t>value</w:t>
      </w:r>
    </w:p>
    <w:p>
      <w:pPr>
        <w:spacing w:after="0" w:line="234" w:lineRule="auto"/>
        <w:rPr>
          <w:sz w:val="20"/>
          <w:szCs w:val="20"/>
          <w:color w:val="auto"/>
        </w:rPr>
      </w:pPr>
      <w:r>
        <w:rPr>
          <w:rFonts w:ascii="Arial" w:cs="Arial" w:eastAsia="Arial" w:hAnsi="Arial"/>
          <w:sz w:val="20"/>
          <w:szCs w:val="20"/>
          <w:color w:val="auto"/>
        </w:rPr>
        <w:t>$0.00001</w:t>
      </w:r>
    </w:p>
    <w:p>
      <w:pPr>
        <w:spacing w:after="0" w:line="233" w:lineRule="auto"/>
        <w:rPr>
          <w:sz w:val="20"/>
          <w:szCs w:val="20"/>
          <w:color w:val="auto"/>
        </w:rPr>
      </w:pPr>
      <w:r>
        <w:rPr>
          <w:rFonts w:ascii="Arial" w:cs="Arial" w:eastAsia="Arial" w:hAnsi="Arial"/>
          <w:sz w:val="20"/>
          <w:szCs w:val="20"/>
          <w:color w:val="auto"/>
        </w:rPr>
        <w:t>per share</w:t>
      </w:r>
    </w:p>
    <w:p>
      <w:pPr>
        <w:spacing w:after="0" w:line="234" w:lineRule="auto"/>
        <w:rPr>
          <w:sz w:val="20"/>
          <w:szCs w:val="20"/>
          <w:color w:val="auto"/>
        </w:rPr>
      </w:pPr>
      <w:r>
        <w:rPr>
          <w:rFonts w:ascii="Arial" w:cs="Arial" w:eastAsia="Arial" w:hAnsi="Arial"/>
          <w:sz w:val="20"/>
          <w:szCs w:val="20"/>
          <w:color w:val="auto"/>
        </w:rPr>
        <w:t>("Class A</w:t>
      </w:r>
    </w:p>
    <w:p>
      <w:pPr>
        <w:spacing w:after="0" w:line="234" w:lineRule="auto"/>
        <w:rPr>
          <w:sz w:val="20"/>
          <w:szCs w:val="20"/>
          <w:color w:val="auto"/>
        </w:rPr>
      </w:pPr>
      <w:r>
        <w:rPr>
          <w:rFonts w:ascii="Arial" w:cs="Arial" w:eastAsia="Arial" w:hAnsi="Arial"/>
          <w:sz w:val="20"/>
          <w:szCs w:val="20"/>
          <w:color w:val="auto"/>
        </w:rPr>
        <w:t>Common</w:t>
      </w:r>
    </w:p>
    <w:p>
      <w:pPr>
        <w:spacing w:after="0" w:line="234" w:lineRule="auto"/>
        <w:rPr>
          <w:sz w:val="20"/>
          <w:szCs w:val="20"/>
          <w:color w:val="auto"/>
        </w:rPr>
      </w:pPr>
      <w:r>
        <w:rPr>
          <w:rFonts w:ascii="Arial" w:cs="Arial" w:eastAsia="Arial" w:hAnsi="Arial"/>
          <w:sz w:val="20"/>
          <w:szCs w:val="20"/>
          <w:color w:val="auto"/>
        </w:rPr>
        <w:t>Stock"),</w:t>
      </w:r>
    </w:p>
    <w:p>
      <w:pPr>
        <w:spacing w:after="0" w:line="233" w:lineRule="auto"/>
        <w:rPr>
          <w:sz w:val="20"/>
          <w:szCs w:val="20"/>
          <w:color w:val="auto"/>
        </w:rPr>
      </w:pPr>
      <w:r>
        <w:rPr>
          <w:rFonts w:ascii="Arial" w:cs="Arial" w:eastAsia="Arial" w:hAnsi="Arial"/>
          <w:sz w:val="20"/>
          <w:szCs w:val="20"/>
          <w:color w:val="auto"/>
        </w:rPr>
        <w:t>issuable</w:t>
      </w:r>
    </w:p>
    <w:p>
      <w:pPr>
        <w:spacing w:after="0" w:line="234" w:lineRule="auto"/>
        <w:rPr>
          <w:sz w:val="20"/>
          <w:szCs w:val="20"/>
          <w:color w:val="auto"/>
        </w:rPr>
      </w:pPr>
      <w:r>
        <w:rPr>
          <w:rFonts w:ascii="Arial" w:cs="Arial" w:eastAsia="Arial" w:hAnsi="Arial"/>
          <w:sz w:val="20"/>
          <w:szCs w:val="20"/>
          <w:color w:val="auto"/>
        </w:rPr>
        <w:t>upon</w:t>
      </w:r>
    </w:p>
    <w:p>
      <w:pPr>
        <w:spacing w:after="0" w:line="234" w:lineRule="auto"/>
        <w:rPr>
          <w:sz w:val="20"/>
          <w:szCs w:val="20"/>
          <w:color w:val="auto"/>
        </w:rPr>
      </w:pPr>
      <w:r>
        <w:rPr>
          <w:rFonts w:ascii="Arial" w:cs="Arial" w:eastAsia="Arial" w:hAnsi="Arial"/>
          <w:sz w:val="20"/>
          <w:szCs w:val="20"/>
          <w:color w:val="auto"/>
        </w:rPr>
        <w:t>conversion</w:t>
      </w:r>
    </w:p>
    <w:p>
      <w:pPr>
        <w:spacing w:after="0" w:line="234" w:lineRule="auto"/>
        <w:rPr>
          <w:sz w:val="20"/>
          <w:szCs w:val="20"/>
          <w:color w:val="auto"/>
        </w:rPr>
      </w:pPr>
      <w:r>
        <w:rPr>
          <w:rFonts w:ascii="Arial" w:cs="Arial" w:eastAsia="Arial" w:hAnsi="Arial"/>
          <w:sz w:val="20"/>
          <w:szCs w:val="20"/>
          <w:color w:val="auto"/>
        </w:rPr>
        <w:t>of Class B</w:t>
      </w:r>
    </w:p>
    <w:p>
      <w:pPr>
        <w:spacing w:after="0" w:line="233" w:lineRule="auto"/>
        <w:rPr>
          <w:sz w:val="20"/>
          <w:szCs w:val="20"/>
          <w:color w:val="auto"/>
        </w:rPr>
      </w:pPr>
      <w:r>
        <w:rPr>
          <w:rFonts w:ascii="Arial" w:cs="Arial" w:eastAsia="Arial" w:hAnsi="Arial"/>
          <w:sz w:val="20"/>
          <w:szCs w:val="20"/>
          <w:color w:val="auto"/>
        </w:rPr>
        <w:t>Common</w:t>
      </w:r>
    </w:p>
    <w:p>
      <w:pPr>
        <w:spacing w:after="0" w:line="234" w:lineRule="auto"/>
        <w:rPr>
          <w:sz w:val="20"/>
          <w:szCs w:val="20"/>
          <w:color w:val="auto"/>
        </w:rPr>
      </w:pPr>
      <w:r>
        <w:rPr>
          <w:rFonts w:ascii="Arial" w:cs="Arial" w:eastAsia="Arial" w:hAnsi="Arial"/>
          <w:sz w:val="20"/>
          <w:szCs w:val="20"/>
          <w:color w:val="auto"/>
        </w:rPr>
        <w:t>Stock</w:t>
      </w:r>
    </w:p>
    <w:p>
      <w:pPr>
        <w:spacing w:after="0" w:line="234" w:lineRule="auto"/>
        <w:rPr>
          <w:sz w:val="20"/>
          <w:szCs w:val="20"/>
          <w:color w:val="auto"/>
        </w:rPr>
      </w:pPr>
      <w:r>
        <w:rPr>
          <w:rFonts w:ascii="Arial" w:cs="Arial" w:eastAsia="Arial" w:hAnsi="Arial"/>
          <w:sz w:val="20"/>
          <w:szCs w:val="20"/>
          <w:color w:val="auto"/>
        </w:rPr>
        <w:t>reserved</w:t>
      </w:r>
    </w:p>
    <w:p>
      <w:pPr>
        <w:spacing w:after="0" w:line="234" w:lineRule="auto"/>
        <w:rPr>
          <w:sz w:val="20"/>
          <w:szCs w:val="20"/>
          <w:color w:val="auto"/>
        </w:rPr>
      </w:pPr>
      <w:r>
        <w:rPr>
          <w:rFonts w:ascii="Arial" w:cs="Arial" w:eastAsia="Arial" w:hAnsi="Arial"/>
          <w:sz w:val="20"/>
          <w:szCs w:val="20"/>
          <w:color w:val="auto"/>
        </w:rPr>
        <w:t>for</w:t>
      </w:r>
    </w:p>
    <w:p>
      <w:pPr>
        <w:spacing w:after="0" w:line="233" w:lineRule="auto"/>
        <w:rPr>
          <w:sz w:val="20"/>
          <w:szCs w:val="20"/>
          <w:color w:val="auto"/>
        </w:rPr>
      </w:pPr>
      <w:r>
        <w:rPr>
          <w:rFonts w:ascii="Arial" w:cs="Arial" w:eastAsia="Arial" w:hAnsi="Arial"/>
          <w:sz w:val="20"/>
          <w:szCs w:val="20"/>
          <w:color w:val="auto"/>
        </w:rPr>
        <w:t>issuance</w:t>
      </w:r>
    </w:p>
    <w:p>
      <w:pPr>
        <w:spacing w:after="0" w:line="234" w:lineRule="auto"/>
        <w:rPr>
          <w:sz w:val="20"/>
          <w:szCs w:val="20"/>
          <w:color w:val="auto"/>
        </w:rPr>
      </w:pPr>
      <w:r>
        <w:rPr>
          <w:rFonts w:ascii="Arial" w:cs="Arial" w:eastAsia="Arial" w:hAnsi="Arial"/>
          <w:sz w:val="20"/>
          <w:szCs w:val="20"/>
          <w:color w:val="auto"/>
        </w:rPr>
        <w:t>pursuant to</w:t>
      </w:r>
    </w:p>
    <w:p>
      <w:pPr>
        <w:spacing w:after="0" w:line="234" w:lineRule="auto"/>
        <w:rPr>
          <w:sz w:val="20"/>
          <w:szCs w:val="20"/>
          <w:color w:val="auto"/>
        </w:rPr>
      </w:pPr>
      <w:r>
        <w:rPr>
          <w:rFonts w:ascii="Arial" w:cs="Arial" w:eastAsia="Arial" w:hAnsi="Arial"/>
          <w:sz w:val="20"/>
          <w:szCs w:val="20"/>
          <w:color w:val="auto"/>
        </w:rPr>
        <w:t>restricted</w:t>
      </w:r>
    </w:p>
    <w:p>
      <w:pPr>
        <w:spacing w:after="0" w:line="234" w:lineRule="auto"/>
        <w:rPr>
          <w:sz w:val="20"/>
          <w:szCs w:val="20"/>
          <w:color w:val="auto"/>
        </w:rPr>
      </w:pPr>
      <w:r>
        <w:rPr>
          <w:rFonts w:ascii="Arial" w:cs="Arial" w:eastAsia="Arial" w:hAnsi="Arial"/>
          <w:sz w:val="20"/>
          <w:szCs w:val="20"/>
          <w:color w:val="auto"/>
        </w:rPr>
        <w:t>stock units</w:t>
      </w:r>
    </w:p>
    <w:p>
      <w:pPr>
        <w:spacing w:after="0" w:line="233" w:lineRule="auto"/>
        <w:rPr>
          <w:sz w:val="20"/>
          <w:szCs w:val="20"/>
          <w:color w:val="auto"/>
        </w:rPr>
      </w:pPr>
      <w:r>
        <w:rPr>
          <w:rFonts w:ascii="Arial" w:cs="Arial" w:eastAsia="Arial" w:hAnsi="Arial"/>
          <w:sz w:val="20"/>
          <w:szCs w:val="20"/>
          <w:color w:val="auto"/>
        </w:rPr>
        <w:t>outstanding</w:t>
      </w:r>
    </w:p>
    <w:p>
      <w:pPr>
        <w:spacing w:after="0" w:line="234" w:lineRule="auto"/>
        <w:rPr>
          <w:sz w:val="20"/>
          <w:szCs w:val="20"/>
          <w:color w:val="auto"/>
        </w:rPr>
      </w:pPr>
      <w:r>
        <w:rPr>
          <w:rFonts w:ascii="Arial" w:cs="Arial" w:eastAsia="Arial" w:hAnsi="Arial"/>
          <w:sz w:val="20"/>
          <w:szCs w:val="20"/>
          <w:color w:val="auto"/>
        </w:rPr>
        <w:t>under the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2016 Plan</w:t>
      </w:r>
    </w:p>
    <w:p>
      <w:pPr>
        <w:spacing w:after="0" w:line="24" w:lineRule="exact"/>
        <w:rPr>
          <w:sz w:val="20"/>
          <w:szCs w:val="20"/>
          <w:color w:val="auto"/>
        </w:rPr>
      </w:pPr>
    </w:p>
    <w:p>
      <w:pPr>
        <w:jc w:val="center"/>
        <w:ind w:right="360"/>
        <w:spacing w:after="0"/>
        <w:rPr>
          <w:sz w:val="20"/>
          <w:szCs w:val="20"/>
          <w:color w:val="auto"/>
        </w:rPr>
      </w:pPr>
      <w:r>
        <w:rPr>
          <w:rFonts w:ascii="Arial" w:cs="Arial" w:eastAsia="Arial" w:hAnsi="Arial"/>
          <w:sz w:val="19"/>
          <w:szCs w:val="19"/>
          <w:color w:val="auto"/>
        </w:rPr>
        <w:t>Class A</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2"/>
        </w:trPr>
        <w:tc>
          <w:tcPr>
            <w:tcW w:w="1100" w:type="dxa"/>
            <w:vAlign w:val="bottom"/>
            <w:vMerge w:val="restart"/>
            <w:shd w:val="clear" w:color="auto" w:fill="E7E7E2"/>
          </w:tcPr>
          <w:p>
            <w:pPr>
              <w:ind w:left="300"/>
              <w:spacing w:after="0"/>
              <w:rPr>
                <w:sz w:val="20"/>
                <w:szCs w:val="20"/>
                <w:color w:val="auto"/>
              </w:rPr>
            </w:pPr>
            <w:r>
              <w:rPr>
                <w:rFonts w:ascii="Arial" w:cs="Arial" w:eastAsia="Arial" w:hAnsi="Arial"/>
                <w:sz w:val="20"/>
                <w:szCs w:val="20"/>
                <w:color w:val="auto"/>
              </w:rPr>
              <w:t>Other</w:t>
            </w:r>
          </w:p>
        </w:tc>
        <w:tc>
          <w:tcPr>
            <w:tcW w:w="40" w:type="dxa"/>
            <w:vAlign w:val="bottom"/>
          </w:tcPr>
          <w:p>
            <w:pPr>
              <w:spacing w:after="0"/>
              <w:rPr>
                <w:sz w:val="24"/>
                <w:szCs w:val="24"/>
                <w:color w:val="auto"/>
              </w:rPr>
            </w:pPr>
          </w:p>
        </w:tc>
        <w:tc>
          <w:tcPr>
            <w:tcW w:w="1060" w:type="dxa"/>
            <w:vAlign w:val="bottom"/>
            <w:vMerge w:val="restart"/>
            <w:shd w:val="clear" w:color="auto" w:fill="E7E7E2"/>
          </w:tcPr>
          <w:p>
            <w:pPr>
              <w:jc w:val="right"/>
              <w:spacing w:after="0"/>
              <w:rPr>
                <w:sz w:val="20"/>
                <w:szCs w:val="20"/>
                <w:color w:val="auto"/>
              </w:rPr>
            </w:pPr>
            <w:r>
              <w:rPr>
                <w:rFonts w:ascii="Arial" w:cs="Arial" w:eastAsia="Arial" w:hAnsi="Arial"/>
                <w:sz w:val="20"/>
                <w:szCs w:val="20"/>
                <w:color w:val="auto"/>
              </w:rPr>
              <w:t>27,044,029</w:t>
            </w:r>
          </w:p>
        </w:tc>
        <w:tc>
          <w:tcPr>
            <w:tcW w:w="20" w:type="dxa"/>
            <w:vAlign w:val="bottom"/>
          </w:tcPr>
          <w:p>
            <w:pPr>
              <w:spacing w:after="0"/>
              <w:rPr>
                <w:sz w:val="24"/>
                <w:szCs w:val="24"/>
                <w:color w:val="auto"/>
              </w:rPr>
            </w:pPr>
          </w:p>
        </w:tc>
        <w:tc>
          <w:tcPr>
            <w:tcW w:w="1360" w:type="dxa"/>
            <w:vAlign w:val="bottom"/>
            <w:vMerge w:val="restart"/>
            <w:shd w:val="clear" w:color="auto" w:fill="E7E7E2"/>
          </w:tcPr>
          <w:p>
            <w:pPr>
              <w:jc w:val="right"/>
              <w:spacing w:after="0"/>
              <w:rPr>
                <w:sz w:val="20"/>
                <w:szCs w:val="20"/>
                <w:color w:val="auto"/>
              </w:rPr>
            </w:pPr>
            <w:r>
              <w:rPr>
                <w:rFonts w:ascii="Arial" w:cs="Arial" w:eastAsia="Arial" w:hAnsi="Arial"/>
                <w:sz w:val="20"/>
                <w:szCs w:val="20"/>
                <w:color w:val="auto"/>
              </w:rPr>
              <w:t>$ 185.00</w:t>
            </w:r>
          </w:p>
        </w:tc>
        <w:tc>
          <w:tcPr>
            <w:tcW w:w="20" w:type="dxa"/>
            <w:vAlign w:val="bottom"/>
          </w:tcPr>
          <w:p>
            <w:pPr>
              <w:spacing w:after="0"/>
              <w:rPr>
                <w:sz w:val="24"/>
                <w:szCs w:val="24"/>
                <w:color w:val="auto"/>
              </w:rPr>
            </w:pPr>
          </w:p>
        </w:tc>
        <w:tc>
          <w:tcPr>
            <w:tcW w:w="1700" w:type="dxa"/>
            <w:vAlign w:val="bottom"/>
            <w:shd w:val="clear" w:color="auto" w:fill="E7E7E2"/>
          </w:tcPr>
          <w:p>
            <w:pPr>
              <w:jc w:val="right"/>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4"/>
                <w:szCs w:val="24"/>
                <w:color w:val="auto"/>
              </w:rPr>
            </w:pPr>
          </w:p>
        </w:tc>
        <w:tc>
          <w:tcPr>
            <w:tcW w:w="960" w:type="dxa"/>
            <w:vAlign w:val="bottom"/>
            <w:vMerge w:val="restart"/>
            <w:shd w:val="clear" w:color="auto" w:fill="E7E7E2"/>
          </w:tcPr>
          <w:p>
            <w:pPr>
              <w:jc w:val="right"/>
              <w:spacing w:after="0"/>
              <w:rPr>
                <w:sz w:val="20"/>
                <w:szCs w:val="20"/>
                <w:color w:val="auto"/>
              </w:rPr>
            </w:pPr>
            <w:r>
              <w:rPr>
                <w:rFonts w:ascii="Arial" w:cs="Arial" w:eastAsia="Arial" w:hAnsi="Arial"/>
                <w:sz w:val="20"/>
                <w:szCs w:val="20"/>
                <w:color w:val="auto"/>
                <w:w w:val="97"/>
              </w:rPr>
              <w:t>0.0001381</w:t>
            </w:r>
          </w:p>
        </w:tc>
        <w:tc>
          <w:tcPr>
            <w:tcW w:w="40" w:type="dxa"/>
            <w:vAlign w:val="bottom"/>
          </w:tcPr>
          <w:p>
            <w:pPr>
              <w:spacing w:after="0"/>
              <w:rPr>
                <w:sz w:val="24"/>
                <w:szCs w:val="24"/>
                <w:color w:val="auto"/>
              </w:rPr>
            </w:pPr>
          </w:p>
        </w:tc>
        <w:tc>
          <w:tcPr>
            <w:tcW w:w="1480" w:type="dxa"/>
            <w:vAlign w:val="bottom"/>
            <w:vMerge w:val="restart"/>
            <w:shd w:val="clear" w:color="auto" w:fill="E7E7E2"/>
          </w:tcPr>
          <w:p>
            <w:pPr>
              <w:jc w:val="right"/>
              <w:spacing w:after="0"/>
              <w:rPr>
                <w:sz w:val="20"/>
                <w:szCs w:val="20"/>
                <w:color w:val="auto"/>
              </w:rPr>
            </w:pPr>
            <w:r>
              <w:rPr>
                <w:rFonts w:ascii="Arial" w:cs="Arial" w:eastAsia="Arial" w:hAnsi="Arial"/>
                <w:sz w:val="20"/>
                <w:szCs w:val="20"/>
                <w:color w:val="auto"/>
              </w:rPr>
              <w:t>$ 690,934.37</w:t>
            </w:r>
          </w:p>
        </w:tc>
        <w:tc>
          <w:tcPr>
            <w:tcW w:w="0" w:type="dxa"/>
            <w:vAlign w:val="bottom"/>
          </w:tcPr>
          <w:p>
            <w:pPr>
              <w:spacing w:after="0"/>
              <w:rPr>
                <w:sz w:val="1"/>
                <w:szCs w:val="1"/>
                <w:color w:val="auto"/>
              </w:rPr>
            </w:pPr>
          </w:p>
        </w:tc>
      </w:tr>
      <w:tr>
        <w:trPr>
          <w:trHeight w:val="264"/>
        </w:trPr>
        <w:tc>
          <w:tcPr>
            <w:tcW w:w="1100" w:type="dxa"/>
            <w:vAlign w:val="bottom"/>
            <w:vMerge w:val="continue"/>
            <w:shd w:val="clear" w:color="auto" w:fill="E7E7E2"/>
          </w:tcPr>
          <w:p>
            <w:pPr>
              <w:spacing w:after="0"/>
              <w:rPr>
                <w:sz w:val="22"/>
                <w:szCs w:val="22"/>
                <w:color w:val="auto"/>
              </w:rPr>
            </w:pPr>
          </w:p>
        </w:tc>
        <w:tc>
          <w:tcPr>
            <w:tcW w:w="40" w:type="dxa"/>
            <w:vAlign w:val="bottom"/>
          </w:tcPr>
          <w:p>
            <w:pPr>
              <w:spacing w:after="0"/>
              <w:rPr>
                <w:sz w:val="22"/>
                <w:szCs w:val="22"/>
                <w:color w:val="auto"/>
              </w:rPr>
            </w:pPr>
          </w:p>
        </w:tc>
        <w:tc>
          <w:tcPr>
            <w:tcW w:w="1060" w:type="dxa"/>
            <w:vAlign w:val="bottom"/>
            <w:vMerge w:val="continue"/>
            <w:shd w:val="clear" w:color="auto" w:fill="E7E7E2"/>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vMerge w:val="continue"/>
            <w:shd w:val="clear" w:color="auto" w:fill="E7E7E2"/>
          </w:tcPr>
          <w:p>
            <w:pPr>
              <w:spacing w:after="0"/>
              <w:rPr>
                <w:sz w:val="22"/>
                <w:szCs w:val="22"/>
                <w:color w:val="auto"/>
              </w:rPr>
            </w:pPr>
          </w:p>
        </w:tc>
        <w:tc>
          <w:tcPr>
            <w:tcW w:w="20" w:type="dxa"/>
            <w:vAlign w:val="bottom"/>
          </w:tcPr>
          <w:p>
            <w:pPr>
              <w:spacing w:after="0"/>
              <w:rPr>
                <w:sz w:val="22"/>
                <w:szCs w:val="22"/>
                <w:color w:val="auto"/>
              </w:rPr>
            </w:pPr>
          </w:p>
        </w:tc>
        <w:tc>
          <w:tcPr>
            <w:tcW w:w="1700" w:type="dxa"/>
            <w:vAlign w:val="bottom"/>
            <w:shd w:val="clear" w:color="auto" w:fill="E7E7E2"/>
          </w:tcPr>
          <w:p>
            <w:pPr>
              <w:jc w:val="right"/>
              <w:spacing w:after="0"/>
              <w:rPr>
                <w:sz w:val="20"/>
                <w:szCs w:val="20"/>
                <w:color w:val="auto"/>
              </w:rPr>
            </w:pPr>
            <w:r>
              <w:rPr>
                <w:rFonts w:ascii="Arial" w:cs="Arial" w:eastAsia="Arial" w:hAnsi="Arial"/>
                <w:sz w:val="20"/>
                <w:szCs w:val="20"/>
                <w:color w:val="auto"/>
              </w:rPr>
              <w:t>5,003,145,365.00</w:t>
            </w:r>
          </w:p>
        </w:tc>
        <w:tc>
          <w:tcPr>
            <w:tcW w:w="20" w:type="dxa"/>
            <w:vAlign w:val="bottom"/>
          </w:tcPr>
          <w:p>
            <w:pPr>
              <w:spacing w:after="0"/>
              <w:rPr>
                <w:sz w:val="22"/>
                <w:szCs w:val="22"/>
                <w:color w:val="auto"/>
              </w:rPr>
            </w:pPr>
          </w:p>
        </w:tc>
        <w:tc>
          <w:tcPr>
            <w:tcW w:w="960" w:type="dxa"/>
            <w:vAlign w:val="bottom"/>
            <w:vMerge w:val="continue"/>
            <w:shd w:val="clear" w:color="auto" w:fill="E7E7E2"/>
          </w:tcPr>
          <w:p>
            <w:pPr>
              <w:spacing w:after="0"/>
              <w:rPr>
                <w:sz w:val="22"/>
                <w:szCs w:val="22"/>
                <w:color w:val="auto"/>
              </w:rPr>
            </w:pPr>
          </w:p>
        </w:tc>
        <w:tc>
          <w:tcPr>
            <w:tcW w:w="40" w:type="dxa"/>
            <w:vAlign w:val="bottom"/>
          </w:tcPr>
          <w:p>
            <w:pPr>
              <w:spacing w:after="0"/>
              <w:rPr>
                <w:sz w:val="22"/>
                <w:szCs w:val="22"/>
                <w:color w:val="auto"/>
              </w:rPr>
            </w:pPr>
          </w:p>
        </w:tc>
        <w:tc>
          <w:tcPr>
            <w:tcW w:w="1480" w:type="dxa"/>
            <w:vAlign w:val="bottom"/>
            <w:vMerge w:val="continue"/>
            <w:shd w:val="clear" w:color="auto" w:fill="E7E7E2"/>
          </w:tcPr>
          <w:p>
            <w:pPr>
              <w:spacing w:after="0"/>
              <w:rPr>
                <w:sz w:val="22"/>
                <w:szCs w:val="22"/>
                <w:color w:val="auto"/>
              </w:rPr>
            </w:pPr>
          </w:p>
        </w:tc>
        <w:tc>
          <w:tcPr>
            <w:tcW w:w="0" w:type="dxa"/>
            <w:vAlign w:val="bottom"/>
          </w:tcPr>
          <w:p>
            <w:pPr>
              <w:spacing w:after="0"/>
              <w:rPr>
                <w:sz w:val="1"/>
                <w:szCs w:val="1"/>
                <w:color w:val="auto"/>
              </w:rPr>
            </w:pPr>
          </w:p>
        </w:tc>
      </w:tr>
      <w:tr>
        <w:trPr>
          <w:trHeight w:val="2350"/>
        </w:trPr>
        <w:tc>
          <w:tcPr>
            <w:tcW w:w="11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483"/>
        </w:trPr>
        <w:tc>
          <w:tcPr>
            <w:tcW w:w="1100" w:type="dxa"/>
            <w:vAlign w:val="bottom"/>
            <w:shd w:val="clear" w:color="auto" w:fill="E7E7E2"/>
          </w:tcPr>
          <w:p>
            <w:pPr>
              <w:ind w:left="300"/>
              <w:spacing w:after="0"/>
              <w:rPr>
                <w:sz w:val="20"/>
                <w:szCs w:val="20"/>
                <w:color w:val="auto"/>
              </w:rPr>
            </w:pPr>
            <w:r>
              <w:rPr>
                <w:rFonts w:ascii="Arial" w:cs="Arial" w:eastAsia="Arial" w:hAnsi="Arial"/>
                <w:sz w:val="20"/>
                <w:szCs w:val="20"/>
                <w:color w:val="auto"/>
              </w:rPr>
              <w:t>Other</w:t>
            </w:r>
          </w:p>
        </w:tc>
        <w:tc>
          <w:tcPr>
            <w:tcW w:w="40" w:type="dxa"/>
            <w:vAlign w:val="bottom"/>
          </w:tcPr>
          <w:p>
            <w:pPr>
              <w:spacing w:after="0"/>
              <w:rPr>
                <w:sz w:val="24"/>
                <w:szCs w:val="24"/>
                <w:color w:val="auto"/>
              </w:rPr>
            </w:pPr>
          </w:p>
        </w:tc>
        <w:tc>
          <w:tcPr>
            <w:tcW w:w="1060" w:type="dxa"/>
            <w:vAlign w:val="bottom"/>
            <w:shd w:val="clear" w:color="auto" w:fill="E7E7E2"/>
          </w:tcPr>
          <w:p>
            <w:pPr>
              <w:jc w:val="right"/>
              <w:spacing w:after="0"/>
              <w:rPr>
                <w:sz w:val="20"/>
                <w:szCs w:val="20"/>
                <w:color w:val="auto"/>
              </w:rPr>
            </w:pPr>
            <w:r>
              <w:rPr>
                <w:rFonts w:ascii="Arial" w:cs="Arial" w:eastAsia="Arial" w:hAnsi="Arial"/>
                <w:sz w:val="20"/>
                <w:szCs w:val="20"/>
                <w:color w:val="auto"/>
              </w:rPr>
              <w:t>26,838,155</w:t>
            </w:r>
          </w:p>
        </w:tc>
        <w:tc>
          <w:tcPr>
            <w:tcW w:w="20" w:type="dxa"/>
            <w:vAlign w:val="bottom"/>
          </w:tcPr>
          <w:p>
            <w:pPr>
              <w:spacing w:after="0"/>
              <w:rPr>
                <w:sz w:val="24"/>
                <w:szCs w:val="24"/>
                <w:color w:val="auto"/>
              </w:rPr>
            </w:pPr>
          </w:p>
        </w:tc>
        <w:tc>
          <w:tcPr>
            <w:tcW w:w="1360" w:type="dxa"/>
            <w:vAlign w:val="bottom"/>
            <w:shd w:val="clear" w:color="auto" w:fill="E7E7E2"/>
          </w:tcPr>
          <w:p>
            <w:pPr>
              <w:jc w:val="right"/>
              <w:spacing w:after="0"/>
              <w:rPr>
                <w:sz w:val="20"/>
                <w:szCs w:val="20"/>
                <w:color w:val="auto"/>
              </w:rPr>
            </w:pPr>
            <w:r>
              <w:rPr>
                <w:rFonts w:ascii="Arial" w:cs="Arial" w:eastAsia="Arial" w:hAnsi="Arial"/>
                <w:sz w:val="20"/>
                <w:szCs w:val="20"/>
                <w:color w:val="auto"/>
              </w:rPr>
              <w:t>$ 4.9374</w:t>
            </w:r>
          </w:p>
        </w:tc>
        <w:tc>
          <w:tcPr>
            <w:tcW w:w="20" w:type="dxa"/>
            <w:vAlign w:val="bottom"/>
          </w:tcPr>
          <w:p>
            <w:pPr>
              <w:spacing w:after="0"/>
              <w:rPr>
                <w:sz w:val="24"/>
                <w:szCs w:val="24"/>
                <w:color w:val="auto"/>
              </w:rPr>
            </w:pPr>
          </w:p>
        </w:tc>
        <w:tc>
          <w:tcPr>
            <w:tcW w:w="1700" w:type="dxa"/>
            <w:vAlign w:val="bottom"/>
            <w:shd w:val="clear" w:color="auto" w:fill="E7E7E2"/>
          </w:tcPr>
          <w:p>
            <w:pPr>
              <w:jc w:val="right"/>
              <w:spacing w:after="0"/>
              <w:rPr>
                <w:sz w:val="20"/>
                <w:szCs w:val="20"/>
                <w:color w:val="auto"/>
              </w:rPr>
            </w:pPr>
            <w:r>
              <w:rPr>
                <w:rFonts w:ascii="Arial" w:cs="Arial" w:eastAsia="Arial" w:hAnsi="Arial"/>
                <w:sz w:val="20"/>
                <w:szCs w:val="20"/>
                <w:color w:val="auto"/>
              </w:rPr>
              <w:t>$ 132,510,706.50</w:t>
            </w:r>
          </w:p>
        </w:tc>
        <w:tc>
          <w:tcPr>
            <w:tcW w:w="20" w:type="dxa"/>
            <w:vAlign w:val="bottom"/>
          </w:tcPr>
          <w:p>
            <w:pPr>
              <w:spacing w:after="0"/>
              <w:rPr>
                <w:sz w:val="24"/>
                <w:szCs w:val="24"/>
                <w:color w:val="auto"/>
              </w:rPr>
            </w:pPr>
          </w:p>
        </w:tc>
        <w:tc>
          <w:tcPr>
            <w:tcW w:w="960" w:type="dxa"/>
            <w:vAlign w:val="bottom"/>
            <w:shd w:val="clear" w:color="auto" w:fill="E7E7E2"/>
          </w:tcPr>
          <w:p>
            <w:pPr>
              <w:jc w:val="right"/>
              <w:spacing w:after="0"/>
              <w:rPr>
                <w:sz w:val="20"/>
                <w:szCs w:val="20"/>
                <w:color w:val="auto"/>
              </w:rPr>
            </w:pPr>
            <w:r>
              <w:rPr>
                <w:rFonts w:ascii="Arial" w:cs="Arial" w:eastAsia="Arial" w:hAnsi="Arial"/>
                <w:sz w:val="20"/>
                <w:szCs w:val="20"/>
                <w:color w:val="auto"/>
                <w:w w:val="97"/>
              </w:rPr>
              <w:t>0.0001381</w:t>
            </w:r>
          </w:p>
        </w:tc>
        <w:tc>
          <w:tcPr>
            <w:tcW w:w="40" w:type="dxa"/>
            <w:vAlign w:val="bottom"/>
          </w:tcPr>
          <w:p>
            <w:pPr>
              <w:spacing w:after="0"/>
              <w:rPr>
                <w:sz w:val="24"/>
                <w:szCs w:val="24"/>
                <w:color w:val="auto"/>
              </w:rPr>
            </w:pPr>
          </w:p>
        </w:tc>
        <w:tc>
          <w:tcPr>
            <w:tcW w:w="1480" w:type="dxa"/>
            <w:vAlign w:val="bottom"/>
            <w:shd w:val="clear" w:color="auto" w:fill="E7E7E2"/>
          </w:tcPr>
          <w:p>
            <w:pPr>
              <w:jc w:val="right"/>
              <w:spacing w:after="0"/>
              <w:rPr>
                <w:sz w:val="20"/>
                <w:szCs w:val="20"/>
                <w:color w:val="auto"/>
              </w:rPr>
            </w:pPr>
            <w:r>
              <w:rPr>
                <w:rFonts w:ascii="Arial" w:cs="Arial" w:eastAsia="Arial" w:hAnsi="Arial"/>
                <w:sz w:val="20"/>
                <w:szCs w:val="20"/>
                <w:color w:val="auto"/>
              </w:rPr>
              <w:t>$ 18,299.73</w:t>
            </w:r>
          </w:p>
        </w:tc>
      </w:tr>
      <w:tr>
        <w:trPr>
          <w:trHeight w:val="1230"/>
        </w:trPr>
        <w:tc>
          <w:tcPr>
            <w:tcW w:w="11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shd w:val="clear" w:color="auto" w:fill="E7E7E2"/>
          </w:tcPr>
          <w:p>
            <w:pPr>
              <w:spacing w:after="0"/>
              <w:rPr>
                <w:sz w:val="24"/>
                <w:szCs w:val="24"/>
                <w:color w:val="auto"/>
              </w:rPr>
            </w:pPr>
          </w:p>
        </w:tc>
      </w:tr>
    </w:tbl>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826"/>
        </w:trPr>
        <w:tc>
          <w:tcPr>
            <w:tcW w:w="1100" w:type="dxa"/>
            <w:vAlign w:val="bottom"/>
            <w:shd w:val="clear" w:color="auto" w:fill="E7E7E2"/>
          </w:tcPr>
          <w:p>
            <w:pPr>
              <w:ind w:left="300"/>
              <w:spacing w:after="0"/>
              <w:rPr>
                <w:sz w:val="20"/>
                <w:szCs w:val="20"/>
                <w:color w:val="auto"/>
              </w:rPr>
            </w:pPr>
            <w:r>
              <w:rPr>
                <w:rFonts w:ascii="Arial" w:cs="Arial" w:eastAsia="Arial" w:hAnsi="Arial"/>
                <w:sz w:val="20"/>
                <w:szCs w:val="20"/>
                <w:color w:val="auto"/>
              </w:rPr>
              <w:t>Other</w:t>
            </w:r>
          </w:p>
        </w:tc>
        <w:tc>
          <w:tcPr>
            <w:tcW w:w="40" w:type="dxa"/>
            <w:vAlign w:val="bottom"/>
          </w:tcPr>
          <w:p>
            <w:pPr>
              <w:spacing w:after="0"/>
              <w:rPr>
                <w:sz w:val="24"/>
                <w:szCs w:val="24"/>
                <w:color w:val="auto"/>
              </w:rPr>
            </w:pPr>
          </w:p>
        </w:tc>
        <w:tc>
          <w:tcPr>
            <w:tcW w:w="1060" w:type="dxa"/>
            <w:vAlign w:val="bottom"/>
            <w:shd w:val="clear" w:color="auto" w:fill="E7E7E2"/>
          </w:tcPr>
          <w:p>
            <w:pPr>
              <w:jc w:val="right"/>
              <w:spacing w:after="0"/>
              <w:rPr>
                <w:sz w:val="20"/>
                <w:szCs w:val="20"/>
                <w:color w:val="auto"/>
              </w:rPr>
            </w:pPr>
            <w:r>
              <w:rPr>
                <w:rFonts w:ascii="Arial" w:cs="Arial" w:eastAsia="Arial" w:hAnsi="Arial"/>
                <w:sz w:val="20"/>
                <w:szCs w:val="20"/>
                <w:color w:val="auto"/>
              </w:rPr>
              <w:t>27,044,029</w:t>
            </w:r>
          </w:p>
        </w:tc>
        <w:tc>
          <w:tcPr>
            <w:tcW w:w="20" w:type="dxa"/>
            <w:vAlign w:val="bottom"/>
          </w:tcPr>
          <w:p>
            <w:pPr>
              <w:spacing w:after="0"/>
              <w:rPr>
                <w:sz w:val="24"/>
                <w:szCs w:val="24"/>
                <w:color w:val="auto"/>
              </w:rPr>
            </w:pPr>
          </w:p>
        </w:tc>
        <w:tc>
          <w:tcPr>
            <w:tcW w:w="13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shd w:val="clear" w:color="auto" w:fill="E7E7E2"/>
          </w:tcPr>
          <w:p>
            <w:pPr>
              <w:jc w:val="right"/>
              <w:spacing w:after="0"/>
              <w:rPr>
                <w:sz w:val="20"/>
                <w:szCs w:val="20"/>
                <w:color w:val="auto"/>
              </w:rPr>
            </w:pPr>
            <w:r>
              <w:rPr>
                <w:rFonts w:ascii="Arial" w:cs="Arial" w:eastAsia="Arial" w:hAnsi="Arial"/>
                <w:sz w:val="20"/>
                <w:szCs w:val="20"/>
                <w:color w:val="auto"/>
              </w:rPr>
              <w:t>$ 0.00</w:t>
            </w:r>
          </w:p>
        </w:tc>
        <w:tc>
          <w:tcPr>
            <w:tcW w:w="20" w:type="dxa"/>
            <w:vAlign w:val="bottom"/>
          </w:tcPr>
          <w:p>
            <w:pPr>
              <w:spacing w:after="0"/>
              <w:rPr>
                <w:sz w:val="24"/>
                <w:szCs w:val="24"/>
                <w:color w:val="auto"/>
              </w:rPr>
            </w:pPr>
          </w:p>
        </w:tc>
        <w:tc>
          <w:tcPr>
            <w:tcW w:w="960" w:type="dxa"/>
            <w:vAlign w:val="bottom"/>
            <w:shd w:val="clear" w:color="auto" w:fill="E7E7E2"/>
          </w:tcPr>
          <w:p>
            <w:pPr>
              <w:jc w:val="right"/>
              <w:spacing w:after="0"/>
              <w:rPr>
                <w:sz w:val="20"/>
                <w:szCs w:val="20"/>
                <w:color w:val="auto"/>
              </w:rPr>
            </w:pPr>
            <w:r>
              <w:rPr>
                <w:rFonts w:ascii="Arial" w:cs="Arial" w:eastAsia="Arial" w:hAnsi="Arial"/>
                <w:sz w:val="20"/>
                <w:szCs w:val="20"/>
                <w:color w:val="auto"/>
                <w:w w:val="97"/>
              </w:rPr>
              <w:t>0.0001381</w:t>
            </w:r>
          </w:p>
        </w:tc>
        <w:tc>
          <w:tcPr>
            <w:tcW w:w="40" w:type="dxa"/>
            <w:vAlign w:val="bottom"/>
          </w:tcPr>
          <w:p>
            <w:pPr>
              <w:spacing w:after="0"/>
              <w:rPr>
                <w:sz w:val="24"/>
                <w:szCs w:val="24"/>
                <w:color w:val="auto"/>
              </w:rPr>
            </w:pPr>
          </w:p>
        </w:tc>
        <w:tc>
          <w:tcPr>
            <w:tcW w:w="1480" w:type="dxa"/>
            <w:vAlign w:val="bottom"/>
            <w:shd w:val="clear" w:color="auto" w:fill="E7E7E2"/>
          </w:tcPr>
          <w:p>
            <w:pPr>
              <w:jc w:val="right"/>
              <w:spacing w:after="0"/>
              <w:rPr>
                <w:sz w:val="20"/>
                <w:szCs w:val="20"/>
                <w:color w:val="auto"/>
              </w:rPr>
            </w:pPr>
            <w:r>
              <w:rPr>
                <w:rFonts w:ascii="Arial" w:cs="Arial" w:eastAsia="Arial" w:hAnsi="Arial"/>
                <w:sz w:val="20"/>
                <w:szCs w:val="20"/>
                <w:color w:val="auto"/>
              </w:rPr>
              <w:t>$ 0.00</w:t>
            </w:r>
          </w:p>
        </w:tc>
      </w:tr>
      <w:tr>
        <w:trPr>
          <w:trHeight w:val="2574"/>
        </w:trPr>
        <w:tc>
          <w:tcPr>
            <w:tcW w:w="11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shd w:val="clear" w:color="auto" w:fill="E7E7E2"/>
          </w:tcPr>
          <w:p>
            <w:pPr>
              <w:spacing w:after="0"/>
              <w:rPr>
                <w:sz w:val="24"/>
                <w:szCs w:val="24"/>
                <w:color w:val="auto"/>
              </w:rPr>
            </w:pPr>
          </w:p>
        </w:tc>
      </w:tr>
    </w:tbl>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1100" w:type="dxa"/>
            <w:vAlign w:val="bottom"/>
            <w:shd w:val="clear" w:color="auto" w:fill="E7E7E2"/>
          </w:tcPr>
          <w:p>
            <w:pPr>
              <w:ind w:left="300"/>
              <w:spacing w:after="0"/>
              <w:rPr>
                <w:sz w:val="20"/>
                <w:szCs w:val="20"/>
                <w:color w:val="auto"/>
              </w:rPr>
            </w:pPr>
            <w:r>
              <w:rPr>
                <w:rFonts w:ascii="Arial" w:cs="Arial" w:eastAsia="Arial" w:hAnsi="Arial"/>
                <w:sz w:val="20"/>
                <w:szCs w:val="20"/>
                <w:color w:val="auto"/>
              </w:rPr>
              <w:t>Other</w:t>
            </w:r>
          </w:p>
        </w:tc>
        <w:tc>
          <w:tcPr>
            <w:tcW w:w="40" w:type="dxa"/>
            <w:vAlign w:val="bottom"/>
          </w:tcPr>
          <w:p>
            <w:pPr>
              <w:spacing w:after="0"/>
              <w:rPr>
                <w:sz w:val="24"/>
                <w:szCs w:val="24"/>
                <w:color w:val="auto"/>
              </w:rPr>
            </w:pPr>
          </w:p>
        </w:tc>
        <w:tc>
          <w:tcPr>
            <w:tcW w:w="1060" w:type="dxa"/>
            <w:vAlign w:val="bottom"/>
            <w:shd w:val="clear" w:color="auto" w:fill="E7E7E2"/>
          </w:tcPr>
          <w:p>
            <w:pPr>
              <w:jc w:val="right"/>
              <w:spacing w:after="0"/>
              <w:rPr>
                <w:sz w:val="20"/>
                <w:szCs w:val="20"/>
                <w:color w:val="auto"/>
              </w:rPr>
            </w:pPr>
            <w:r>
              <w:rPr>
                <w:rFonts w:ascii="Arial" w:cs="Arial" w:eastAsia="Arial" w:hAnsi="Arial"/>
                <w:sz w:val="20"/>
                <w:szCs w:val="20"/>
                <w:color w:val="auto"/>
                <w:shd w:val="clear" w:color="auto" w:fill="E7E7E2"/>
              </w:rPr>
              <w:t>26,838,155</w:t>
            </w:r>
          </w:p>
        </w:tc>
        <w:tc>
          <w:tcPr>
            <w:tcW w:w="20" w:type="dxa"/>
            <w:vAlign w:val="bottom"/>
          </w:tcPr>
          <w:p>
            <w:pPr>
              <w:spacing w:after="0"/>
              <w:rPr>
                <w:sz w:val="24"/>
                <w:szCs w:val="24"/>
                <w:color w:val="auto"/>
              </w:rPr>
            </w:pPr>
          </w:p>
        </w:tc>
        <w:tc>
          <w:tcPr>
            <w:tcW w:w="13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shd w:val="clear" w:color="auto" w:fill="E7E7E2"/>
          </w:tcPr>
          <w:p>
            <w:pPr>
              <w:jc w:val="right"/>
              <w:spacing w:after="0"/>
              <w:rPr>
                <w:sz w:val="20"/>
                <w:szCs w:val="20"/>
                <w:color w:val="auto"/>
              </w:rPr>
            </w:pPr>
            <w:r>
              <w:rPr>
                <w:rFonts w:ascii="Arial" w:cs="Arial" w:eastAsia="Arial" w:hAnsi="Arial"/>
                <w:sz w:val="20"/>
                <w:szCs w:val="20"/>
                <w:color w:val="auto"/>
              </w:rPr>
              <w:t>$ 0.00</w:t>
            </w:r>
          </w:p>
        </w:tc>
        <w:tc>
          <w:tcPr>
            <w:tcW w:w="20" w:type="dxa"/>
            <w:vAlign w:val="bottom"/>
          </w:tcPr>
          <w:p>
            <w:pPr>
              <w:spacing w:after="0"/>
              <w:rPr>
                <w:sz w:val="24"/>
                <w:szCs w:val="24"/>
                <w:color w:val="auto"/>
              </w:rPr>
            </w:pPr>
          </w:p>
        </w:tc>
        <w:tc>
          <w:tcPr>
            <w:tcW w:w="960" w:type="dxa"/>
            <w:vAlign w:val="bottom"/>
            <w:shd w:val="clear" w:color="auto" w:fill="E7E7E2"/>
          </w:tcPr>
          <w:p>
            <w:pPr>
              <w:jc w:val="right"/>
              <w:spacing w:after="0"/>
              <w:rPr>
                <w:sz w:val="20"/>
                <w:szCs w:val="20"/>
                <w:color w:val="auto"/>
              </w:rPr>
            </w:pPr>
            <w:r>
              <w:rPr>
                <w:rFonts w:ascii="Arial" w:cs="Arial" w:eastAsia="Arial" w:hAnsi="Arial"/>
                <w:sz w:val="20"/>
                <w:szCs w:val="20"/>
                <w:color w:val="auto"/>
                <w:w w:val="97"/>
                <w:shd w:val="clear" w:color="auto" w:fill="E7E7E2"/>
              </w:rPr>
              <w:t>0.0001381</w:t>
            </w:r>
          </w:p>
        </w:tc>
        <w:tc>
          <w:tcPr>
            <w:tcW w:w="40" w:type="dxa"/>
            <w:vAlign w:val="bottom"/>
          </w:tcPr>
          <w:p>
            <w:pPr>
              <w:spacing w:after="0"/>
              <w:rPr>
                <w:sz w:val="24"/>
                <w:szCs w:val="24"/>
                <w:color w:val="auto"/>
              </w:rPr>
            </w:pPr>
          </w:p>
        </w:tc>
        <w:tc>
          <w:tcPr>
            <w:tcW w:w="1480" w:type="dxa"/>
            <w:vAlign w:val="bottom"/>
            <w:shd w:val="clear" w:color="auto" w:fill="E7E7E2"/>
          </w:tcPr>
          <w:p>
            <w:pPr>
              <w:jc w:val="right"/>
              <w:spacing w:after="0"/>
              <w:rPr>
                <w:sz w:val="20"/>
                <w:szCs w:val="20"/>
                <w:color w:val="auto"/>
              </w:rPr>
            </w:pPr>
            <w:r>
              <w:rPr>
                <w:rFonts w:ascii="Arial" w:cs="Arial" w:eastAsia="Arial" w:hAnsi="Arial"/>
                <w:sz w:val="20"/>
                <w:szCs w:val="20"/>
                <w:color w:val="auto"/>
              </w:rPr>
              <w:t>$ 0.00</w:t>
            </w:r>
          </w:p>
        </w:tc>
      </w:tr>
      <w:tr>
        <w:trPr>
          <w:trHeight w:val="25"/>
        </w:trPr>
        <w:tc>
          <w:tcPr>
            <w:tcW w:w="1100" w:type="dxa"/>
            <w:vAlign w:val="bottom"/>
            <w:shd w:val="clear" w:color="auto" w:fill="E7E7E2"/>
          </w:tcPr>
          <w:p>
            <w:pPr>
              <w:spacing w:after="0"/>
              <w:rPr>
                <w:sz w:val="2"/>
                <w:szCs w:val="2"/>
                <w:color w:val="auto"/>
              </w:rPr>
            </w:pPr>
          </w:p>
        </w:tc>
        <w:tc>
          <w:tcPr>
            <w:tcW w:w="40" w:type="dxa"/>
            <w:vAlign w:val="bottom"/>
          </w:tcPr>
          <w:p>
            <w:pPr>
              <w:spacing w:after="0"/>
              <w:rPr>
                <w:sz w:val="2"/>
                <w:szCs w:val="2"/>
                <w:color w:val="auto"/>
              </w:rPr>
            </w:pPr>
          </w:p>
        </w:tc>
        <w:tc>
          <w:tcPr>
            <w:tcW w:w="1060" w:type="dxa"/>
            <w:vAlign w:val="bottom"/>
            <w:shd w:val="clear" w:color="auto" w:fill="E7E7E2"/>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shd w:val="clear" w:color="auto" w:fill="E7E7E2"/>
          </w:tcPr>
          <w:p>
            <w:pPr>
              <w:spacing w:after="0"/>
              <w:rPr>
                <w:sz w:val="2"/>
                <w:szCs w:val="2"/>
                <w:color w:val="auto"/>
              </w:rPr>
            </w:pPr>
          </w:p>
        </w:tc>
        <w:tc>
          <w:tcPr>
            <w:tcW w:w="20" w:type="dxa"/>
            <w:vAlign w:val="bottom"/>
          </w:tcPr>
          <w:p>
            <w:pPr>
              <w:spacing w:after="0"/>
              <w:rPr>
                <w:sz w:val="2"/>
                <w:szCs w:val="2"/>
                <w:color w:val="auto"/>
              </w:rPr>
            </w:pPr>
          </w:p>
        </w:tc>
        <w:tc>
          <w:tcPr>
            <w:tcW w:w="1700" w:type="dxa"/>
            <w:vAlign w:val="bottom"/>
            <w:shd w:val="clear" w:color="auto" w:fill="E7E7E2"/>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shd w:val="clear" w:color="auto" w:fill="E7E7E2"/>
          </w:tcPr>
          <w:p>
            <w:pPr>
              <w:spacing w:after="0"/>
              <w:rPr>
                <w:sz w:val="2"/>
                <w:szCs w:val="2"/>
                <w:color w:val="auto"/>
              </w:rPr>
            </w:pPr>
          </w:p>
        </w:tc>
        <w:tc>
          <w:tcPr>
            <w:tcW w:w="40" w:type="dxa"/>
            <w:vAlign w:val="bottom"/>
          </w:tcPr>
          <w:p>
            <w:pPr>
              <w:spacing w:after="0"/>
              <w:rPr>
                <w:sz w:val="2"/>
                <w:szCs w:val="2"/>
                <w:color w:val="auto"/>
              </w:rPr>
            </w:pPr>
          </w:p>
        </w:tc>
        <w:tc>
          <w:tcPr>
            <w:tcW w:w="1480" w:type="dxa"/>
            <w:vAlign w:val="bottom"/>
            <w:shd w:val="clear" w:color="auto" w:fill="E7E7E2"/>
          </w:tcPr>
          <w:p>
            <w:pPr>
              <w:spacing w:after="0"/>
              <w:rPr>
                <w:sz w:val="2"/>
                <w:szCs w:val="2"/>
                <w:color w:val="auto"/>
              </w:rPr>
            </w:pPr>
          </w:p>
        </w:tc>
      </w:tr>
    </w:tbl>
    <w:p>
      <w:pPr>
        <w:sectPr>
          <w:pgSz w:w="11900" w:h="16900" w:orient="portrait"/>
          <w:cols w:equalWidth="0" w:num="3">
            <w:col w:w="740" w:space="420"/>
            <w:col w:w="1040" w:space="40"/>
            <w:col w:w="7800"/>
          </w:cols>
          <w:pgMar w:left="940" w:top="141" w:right="919" w:bottom="0" w:gutter="0" w:footer="0" w:header="0"/>
          <w:type w:val="continuous"/>
        </w:sectPr>
      </w:pPr>
    </w:p>
    <w:bookmarkStart w:id="10" w:name="page11"/>
    <w:bookmarkEnd w:id="10"/>
    <w:p>
      <w:pPr>
        <w:ind w:left="1180"/>
        <w:spacing w:after="0"/>
        <w:rPr>
          <w:sz w:val="20"/>
          <w:szCs w:val="20"/>
          <w:color w:val="auto"/>
        </w:rPr>
      </w:pPr>
      <w:r>
        <w:rPr>
          <w:rFonts w:ascii="Arial" w:cs="Arial" w:eastAsia="Arial" w:hAnsi="Arial"/>
          <w:sz w:val="20"/>
          <w:szCs w:val="20"/>
          <w:color w:val="auto"/>
        </w:rPr>
        <w:t>Common</w:t>
      </w:r>
    </w:p>
    <w:p>
      <w:pPr>
        <w:spacing w:after="0" w:line="8" w:lineRule="exact"/>
        <w:rPr>
          <w:sz w:val="20"/>
          <w:szCs w:val="20"/>
          <w:color w:val="auto"/>
        </w:rPr>
      </w:pPr>
    </w:p>
    <w:p>
      <w:pPr>
        <w:ind w:left="1180"/>
        <w:spacing w:after="0"/>
        <w:rPr>
          <w:sz w:val="20"/>
          <w:szCs w:val="20"/>
          <w:color w:val="auto"/>
        </w:rPr>
      </w:pPr>
      <w:r>
        <w:rPr>
          <w:rFonts w:ascii="Arial" w:cs="Arial" w:eastAsia="Arial" w:hAnsi="Arial"/>
          <w:sz w:val="20"/>
          <w:szCs w:val="20"/>
          <w:color w:val="auto"/>
        </w:rPr>
        <w:t>Stock,</w:t>
      </w:r>
    </w:p>
    <w:p>
      <w:pPr>
        <w:ind w:left="1180"/>
        <w:spacing w:after="0" w:line="233" w:lineRule="auto"/>
        <w:rPr>
          <w:sz w:val="20"/>
          <w:szCs w:val="20"/>
          <w:color w:val="auto"/>
        </w:rPr>
      </w:pPr>
      <w:r>
        <w:rPr>
          <w:rFonts w:ascii="Arial" w:cs="Arial" w:eastAsia="Arial" w:hAnsi="Arial"/>
          <w:sz w:val="20"/>
          <w:szCs w:val="20"/>
          <w:color w:val="auto"/>
        </w:rPr>
        <w:t>issuable</w:t>
      </w:r>
    </w:p>
    <w:p>
      <w:pPr>
        <w:ind w:left="1180"/>
        <w:spacing w:after="0" w:line="234" w:lineRule="auto"/>
        <w:rPr>
          <w:sz w:val="20"/>
          <w:szCs w:val="20"/>
          <w:color w:val="auto"/>
        </w:rPr>
      </w:pPr>
      <w:r>
        <w:rPr>
          <w:rFonts w:ascii="Arial" w:cs="Arial" w:eastAsia="Arial" w:hAnsi="Arial"/>
          <w:sz w:val="20"/>
          <w:szCs w:val="20"/>
          <w:color w:val="auto"/>
        </w:rPr>
        <w:t>upon</w:t>
      </w:r>
    </w:p>
    <w:p>
      <w:pPr>
        <w:ind w:left="1180"/>
        <w:spacing w:after="0" w:line="234" w:lineRule="auto"/>
        <w:rPr>
          <w:sz w:val="20"/>
          <w:szCs w:val="20"/>
          <w:color w:val="auto"/>
        </w:rPr>
      </w:pPr>
      <w:r>
        <w:rPr>
          <w:rFonts w:ascii="Arial" w:cs="Arial" w:eastAsia="Arial" w:hAnsi="Arial"/>
          <w:sz w:val="20"/>
          <w:szCs w:val="20"/>
          <w:color w:val="auto"/>
        </w:rPr>
        <w:t>conversion</w:t>
      </w:r>
    </w:p>
    <w:p>
      <w:pPr>
        <w:ind w:left="1180"/>
        <w:spacing w:after="0" w:line="233" w:lineRule="auto"/>
        <w:rPr>
          <w:sz w:val="20"/>
          <w:szCs w:val="20"/>
          <w:color w:val="auto"/>
        </w:rPr>
      </w:pPr>
      <w:r>
        <w:rPr>
          <w:rFonts w:ascii="Arial" w:cs="Arial" w:eastAsia="Arial" w:hAnsi="Arial"/>
          <w:sz w:val="20"/>
          <w:szCs w:val="20"/>
          <w:color w:val="auto"/>
        </w:rPr>
        <w:t>of Class B</w:t>
      </w:r>
    </w:p>
    <w:p>
      <w:pPr>
        <w:ind w:left="1180"/>
        <w:spacing w:after="0" w:line="234" w:lineRule="auto"/>
        <w:rPr>
          <w:sz w:val="20"/>
          <w:szCs w:val="20"/>
          <w:color w:val="auto"/>
        </w:rPr>
      </w:pPr>
      <w:r>
        <w:rPr>
          <w:rFonts w:ascii="Arial" w:cs="Arial" w:eastAsia="Arial" w:hAnsi="Arial"/>
          <w:sz w:val="20"/>
          <w:szCs w:val="20"/>
          <w:color w:val="auto"/>
        </w:rPr>
        <w:t>Common</w:t>
      </w:r>
    </w:p>
    <w:p>
      <w:pPr>
        <w:ind w:left="1180"/>
        <w:spacing w:after="0" w:line="234" w:lineRule="auto"/>
        <w:rPr>
          <w:sz w:val="20"/>
          <w:szCs w:val="20"/>
          <w:color w:val="auto"/>
        </w:rPr>
      </w:pPr>
      <w:r>
        <w:rPr>
          <w:rFonts w:ascii="Arial" w:cs="Arial" w:eastAsia="Arial" w:hAnsi="Arial"/>
          <w:sz w:val="20"/>
          <w:szCs w:val="20"/>
          <w:color w:val="auto"/>
        </w:rPr>
        <w:t>Stock</w:t>
      </w:r>
    </w:p>
    <w:p>
      <w:pPr>
        <w:ind w:left="1180"/>
        <w:spacing w:after="0" w:line="234" w:lineRule="auto"/>
        <w:rPr>
          <w:sz w:val="20"/>
          <w:szCs w:val="20"/>
          <w:color w:val="auto"/>
        </w:rPr>
      </w:pPr>
      <w:r>
        <w:rPr>
          <w:rFonts w:ascii="Arial" w:cs="Arial" w:eastAsia="Arial" w:hAnsi="Arial"/>
          <w:sz w:val="20"/>
          <w:szCs w:val="20"/>
          <w:color w:val="auto"/>
        </w:rPr>
        <w:t>reserved</w:t>
      </w:r>
    </w:p>
    <w:p>
      <w:pPr>
        <w:ind w:left="1180"/>
        <w:spacing w:after="0" w:line="233" w:lineRule="auto"/>
        <w:rPr>
          <w:sz w:val="20"/>
          <w:szCs w:val="20"/>
          <w:color w:val="auto"/>
        </w:rPr>
      </w:pPr>
      <w:r>
        <w:rPr>
          <w:rFonts w:ascii="Arial" w:cs="Arial" w:eastAsia="Arial" w:hAnsi="Arial"/>
          <w:sz w:val="20"/>
          <w:szCs w:val="20"/>
          <w:color w:val="auto"/>
        </w:rPr>
        <w:t>for</w:t>
      </w:r>
    </w:p>
    <w:p>
      <w:pPr>
        <w:ind w:left="1180"/>
        <w:spacing w:after="0" w:line="234" w:lineRule="auto"/>
        <w:rPr>
          <w:sz w:val="20"/>
          <w:szCs w:val="20"/>
          <w:color w:val="auto"/>
        </w:rPr>
      </w:pPr>
      <w:r>
        <w:rPr>
          <w:rFonts w:ascii="Arial" w:cs="Arial" w:eastAsia="Arial" w:hAnsi="Arial"/>
          <w:sz w:val="20"/>
          <w:szCs w:val="20"/>
          <w:color w:val="auto"/>
        </w:rPr>
        <w:t>issuance</w:t>
      </w:r>
    </w:p>
    <w:p>
      <w:pPr>
        <w:ind w:left="1180"/>
        <w:spacing w:after="0" w:line="234" w:lineRule="auto"/>
        <w:rPr>
          <w:sz w:val="20"/>
          <w:szCs w:val="20"/>
          <w:color w:val="auto"/>
        </w:rPr>
      </w:pPr>
      <w:r>
        <w:rPr>
          <w:rFonts w:ascii="Arial" w:cs="Arial" w:eastAsia="Arial" w:hAnsi="Arial"/>
          <w:sz w:val="20"/>
          <w:szCs w:val="20"/>
          <w:color w:val="auto"/>
        </w:rPr>
        <w:t>upon the</w:t>
      </w:r>
    </w:p>
    <w:p>
      <w:pPr>
        <w:ind w:left="1180"/>
        <w:spacing w:after="0" w:line="234" w:lineRule="auto"/>
        <w:rPr>
          <w:sz w:val="20"/>
          <w:szCs w:val="20"/>
          <w:color w:val="auto"/>
        </w:rPr>
      </w:pPr>
      <w:r>
        <w:rPr>
          <w:rFonts w:ascii="Arial" w:cs="Arial" w:eastAsia="Arial" w:hAnsi="Arial"/>
          <w:sz w:val="20"/>
          <w:szCs w:val="20"/>
          <w:color w:val="auto"/>
        </w:rPr>
        <w:t>exercise of</w:t>
      </w:r>
    </w:p>
    <w:p>
      <w:pPr>
        <w:ind w:left="1180"/>
        <w:spacing w:after="0" w:line="233" w:lineRule="auto"/>
        <w:rPr>
          <w:sz w:val="20"/>
          <w:szCs w:val="20"/>
          <w:color w:val="auto"/>
        </w:rPr>
      </w:pPr>
      <w:r>
        <w:rPr>
          <w:rFonts w:ascii="Arial" w:cs="Arial" w:eastAsia="Arial" w:hAnsi="Arial"/>
          <w:sz w:val="20"/>
          <w:szCs w:val="20"/>
          <w:color w:val="auto"/>
        </w:rPr>
        <w:t>options</w:t>
      </w:r>
    </w:p>
    <w:p>
      <w:pPr>
        <w:ind w:left="1180"/>
        <w:spacing w:after="0" w:line="234" w:lineRule="auto"/>
        <w:rPr>
          <w:sz w:val="20"/>
          <w:szCs w:val="20"/>
          <w:color w:val="auto"/>
        </w:rPr>
      </w:pPr>
      <w:r>
        <w:rPr>
          <w:rFonts w:ascii="Arial" w:cs="Arial" w:eastAsia="Arial" w:hAnsi="Arial"/>
          <w:sz w:val="20"/>
          <w:szCs w:val="20"/>
          <w:color w:val="auto"/>
        </w:rPr>
        <w:t>outstanding</w:t>
      </w:r>
    </w:p>
    <w:p>
      <w:pPr>
        <w:ind w:left="1180"/>
        <w:spacing w:after="0" w:line="234" w:lineRule="auto"/>
        <w:rPr>
          <w:sz w:val="20"/>
          <w:szCs w:val="20"/>
          <w:color w:val="auto"/>
        </w:rPr>
      </w:pPr>
      <w:r>
        <w:rPr>
          <w:rFonts w:ascii="Arial" w:cs="Arial" w:eastAsia="Arial" w:hAnsi="Arial"/>
          <w:sz w:val="20"/>
          <w:szCs w:val="20"/>
          <w:color w:val="auto"/>
        </w:rPr>
        <w:t>under the</w:t>
      </w:r>
    </w:p>
    <w:p>
      <w:pPr>
        <w:ind w:left="1180"/>
        <w:spacing w:after="0"/>
        <w:rPr>
          <w:sz w:val="20"/>
          <w:szCs w:val="20"/>
          <w:color w:val="auto"/>
        </w:rPr>
      </w:pPr>
      <w:r>
        <w:rPr>
          <w:rFonts w:ascii="Arial" w:cs="Arial" w:eastAsia="Arial" w:hAnsi="Arial"/>
          <w:sz w:val="20"/>
          <w:szCs w:val="20"/>
          <w:color w:val="auto"/>
        </w:rPr>
        <w:t>2016 Plan</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shd w:val="clear" w:color="auto" w:fill="E7E7E2"/>
          </w:tcPr>
          <w:p>
            <w:pPr>
              <w:ind w:left="20"/>
              <w:spacing w:after="0"/>
              <w:rPr>
                <w:sz w:val="20"/>
                <w:szCs w:val="20"/>
                <w:color w:val="auto"/>
              </w:rPr>
            </w:pPr>
            <w:r>
              <w:rPr>
                <w:rFonts w:ascii="Arial" w:cs="Arial" w:eastAsia="Arial" w:hAnsi="Arial"/>
                <w:sz w:val="20"/>
                <w:szCs w:val="20"/>
                <w:color w:val="auto"/>
              </w:rPr>
              <w:t>Class A</w:t>
            </w:r>
          </w:p>
        </w:tc>
        <w:tc>
          <w:tcPr>
            <w:tcW w:w="20" w:type="dxa"/>
            <w:vAlign w:val="bottom"/>
          </w:tcPr>
          <w:p>
            <w:pPr>
              <w:spacing w:after="0"/>
              <w:rPr>
                <w:sz w:val="19"/>
                <w:szCs w:val="19"/>
                <w:color w:val="auto"/>
              </w:rPr>
            </w:pPr>
          </w:p>
        </w:tc>
        <w:tc>
          <w:tcPr>
            <w:tcW w:w="11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shd w:val="clear" w:color="auto" w:fill="E7E7E2"/>
          </w:tcPr>
          <w:p>
            <w:pPr>
              <w:spacing w:after="0"/>
              <w:rPr>
                <w:sz w:val="19"/>
                <w:szCs w:val="19"/>
                <w:color w:val="auto"/>
              </w:rPr>
            </w:pPr>
          </w:p>
        </w:tc>
      </w:tr>
      <w:tr>
        <w:trPr>
          <w:trHeight w:val="224"/>
        </w:trPr>
        <w:tc>
          <w:tcPr>
            <w:tcW w:w="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shd w:val="clear" w:color="auto" w:fill="E7E7E2"/>
          </w:tcPr>
          <w:p>
            <w:pPr>
              <w:ind w:left="20"/>
              <w:spacing w:after="0" w:line="224" w:lineRule="exact"/>
              <w:rPr>
                <w:sz w:val="20"/>
                <w:szCs w:val="20"/>
                <w:color w:val="auto"/>
              </w:rPr>
            </w:pPr>
            <w:r>
              <w:rPr>
                <w:rFonts w:ascii="Arial" w:cs="Arial" w:eastAsia="Arial" w:hAnsi="Arial"/>
                <w:sz w:val="20"/>
                <w:szCs w:val="20"/>
                <w:color w:val="auto"/>
              </w:rPr>
              <w:t>Common</w:t>
            </w:r>
          </w:p>
        </w:tc>
        <w:tc>
          <w:tcPr>
            <w:tcW w:w="20" w:type="dxa"/>
            <w:vAlign w:val="bottom"/>
          </w:tcPr>
          <w:p>
            <w:pPr>
              <w:spacing w:after="0"/>
              <w:rPr>
                <w:sz w:val="19"/>
                <w:szCs w:val="19"/>
                <w:color w:val="auto"/>
              </w:rPr>
            </w:pPr>
          </w:p>
        </w:tc>
        <w:tc>
          <w:tcPr>
            <w:tcW w:w="11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shd w:val="clear" w:color="auto" w:fill="E7E7E2"/>
          </w:tcPr>
          <w:p>
            <w:pPr>
              <w:spacing w:after="0"/>
              <w:rPr>
                <w:sz w:val="19"/>
                <w:szCs w:val="19"/>
                <w:color w:val="auto"/>
              </w:rPr>
            </w:pPr>
          </w:p>
        </w:tc>
      </w:tr>
      <w:tr>
        <w:trPr>
          <w:trHeight w:val="224"/>
        </w:trPr>
        <w:tc>
          <w:tcPr>
            <w:tcW w:w="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shd w:val="clear" w:color="auto" w:fill="E7E7E2"/>
          </w:tcPr>
          <w:p>
            <w:pPr>
              <w:ind w:left="20"/>
              <w:spacing w:after="0" w:line="224" w:lineRule="exact"/>
              <w:rPr>
                <w:sz w:val="20"/>
                <w:szCs w:val="20"/>
                <w:color w:val="auto"/>
              </w:rPr>
            </w:pPr>
            <w:r>
              <w:rPr>
                <w:rFonts w:ascii="Arial" w:cs="Arial" w:eastAsia="Arial" w:hAnsi="Arial"/>
                <w:sz w:val="20"/>
                <w:szCs w:val="20"/>
                <w:color w:val="auto"/>
              </w:rPr>
              <w:t>Stock</w:t>
            </w:r>
          </w:p>
        </w:tc>
        <w:tc>
          <w:tcPr>
            <w:tcW w:w="20" w:type="dxa"/>
            <w:vAlign w:val="bottom"/>
          </w:tcPr>
          <w:p>
            <w:pPr>
              <w:spacing w:after="0"/>
              <w:rPr>
                <w:sz w:val="19"/>
                <w:szCs w:val="19"/>
                <w:color w:val="auto"/>
              </w:rPr>
            </w:pPr>
          </w:p>
        </w:tc>
        <w:tc>
          <w:tcPr>
            <w:tcW w:w="11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shd w:val="clear" w:color="auto" w:fill="E7E7E2"/>
          </w:tcPr>
          <w:p>
            <w:pPr>
              <w:spacing w:after="0"/>
              <w:rPr>
                <w:sz w:val="19"/>
                <w:szCs w:val="19"/>
                <w:color w:val="auto"/>
              </w:rPr>
            </w:pPr>
          </w:p>
        </w:tc>
      </w:tr>
      <w:tr>
        <w:trPr>
          <w:trHeight w:val="224"/>
        </w:trPr>
        <w:tc>
          <w:tcPr>
            <w:tcW w:w="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shd w:val="clear" w:color="auto" w:fill="E7E7E2"/>
          </w:tcPr>
          <w:p>
            <w:pPr>
              <w:ind w:left="20"/>
              <w:spacing w:after="0" w:line="224" w:lineRule="exact"/>
              <w:rPr>
                <w:sz w:val="20"/>
                <w:szCs w:val="20"/>
                <w:color w:val="auto"/>
              </w:rPr>
            </w:pPr>
            <w:r>
              <w:rPr>
                <w:rFonts w:ascii="Arial" w:cs="Arial" w:eastAsia="Arial" w:hAnsi="Arial"/>
                <w:sz w:val="20"/>
                <w:szCs w:val="20"/>
                <w:color w:val="auto"/>
              </w:rPr>
              <w:t>reserved</w:t>
            </w:r>
          </w:p>
        </w:tc>
        <w:tc>
          <w:tcPr>
            <w:tcW w:w="20" w:type="dxa"/>
            <w:vAlign w:val="bottom"/>
          </w:tcPr>
          <w:p>
            <w:pPr>
              <w:spacing w:after="0"/>
              <w:rPr>
                <w:sz w:val="19"/>
                <w:szCs w:val="19"/>
                <w:color w:val="auto"/>
              </w:rPr>
            </w:pPr>
          </w:p>
        </w:tc>
        <w:tc>
          <w:tcPr>
            <w:tcW w:w="11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shd w:val="clear" w:color="auto" w:fill="E7E7E2"/>
          </w:tcPr>
          <w:p>
            <w:pPr>
              <w:spacing w:after="0"/>
              <w:rPr>
                <w:sz w:val="19"/>
                <w:szCs w:val="19"/>
                <w:color w:val="auto"/>
              </w:rPr>
            </w:pPr>
          </w:p>
        </w:tc>
      </w:tr>
      <w:tr>
        <w:trPr>
          <w:trHeight w:val="224"/>
        </w:trPr>
        <w:tc>
          <w:tcPr>
            <w:tcW w:w="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shd w:val="clear" w:color="auto" w:fill="E7E7E2"/>
          </w:tcPr>
          <w:p>
            <w:pPr>
              <w:ind w:left="20"/>
              <w:spacing w:after="0" w:line="224" w:lineRule="exact"/>
              <w:rPr>
                <w:sz w:val="20"/>
                <w:szCs w:val="20"/>
                <w:color w:val="auto"/>
              </w:rPr>
            </w:pPr>
            <w:r>
              <w:rPr>
                <w:rFonts w:ascii="Arial" w:cs="Arial" w:eastAsia="Arial" w:hAnsi="Arial"/>
                <w:sz w:val="20"/>
                <w:szCs w:val="20"/>
                <w:color w:val="auto"/>
              </w:rPr>
              <w:t>for</w:t>
            </w:r>
          </w:p>
        </w:tc>
        <w:tc>
          <w:tcPr>
            <w:tcW w:w="20" w:type="dxa"/>
            <w:vAlign w:val="bottom"/>
          </w:tcPr>
          <w:p>
            <w:pPr>
              <w:spacing w:after="0"/>
              <w:rPr>
                <w:sz w:val="19"/>
                <w:szCs w:val="19"/>
                <w:color w:val="auto"/>
              </w:rPr>
            </w:pPr>
          </w:p>
        </w:tc>
        <w:tc>
          <w:tcPr>
            <w:tcW w:w="11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shd w:val="clear" w:color="auto" w:fill="E7E7E2"/>
          </w:tcPr>
          <w:p>
            <w:pPr>
              <w:spacing w:after="0"/>
              <w:rPr>
                <w:sz w:val="19"/>
                <w:szCs w:val="19"/>
                <w:color w:val="auto"/>
              </w:rPr>
            </w:pPr>
          </w:p>
        </w:tc>
      </w:tr>
      <w:tr>
        <w:trPr>
          <w:trHeight w:val="224"/>
        </w:trPr>
        <w:tc>
          <w:tcPr>
            <w:tcW w:w="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shd w:val="clear" w:color="auto" w:fill="E7E7E2"/>
          </w:tcPr>
          <w:p>
            <w:pPr>
              <w:ind w:left="20"/>
              <w:spacing w:after="0" w:line="224" w:lineRule="exact"/>
              <w:rPr>
                <w:sz w:val="20"/>
                <w:szCs w:val="20"/>
                <w:color w:val="auto"/>
              </w:rPr>
            </w:pPr>
            <w:r>
              <w:rPr>
                <w:rFonts w:ascii="Arial" w:cs="Arial" w:eastAsia="Arial" w:hAnsi="Arial"/>
                <w:sz w:val="20"/>
                <w:szCs w:val="20"/>
                <w:color w:val="auto"/>
              </w:rPr>
              <w:t>issuance</w:t>
            </w:r>
          </w:p>
        </w:tc>
        <w:tc>
          <w:tcPr>
            <w:tcW w:w="20" w:type="dxa"/>
            <w:vAlign w:val="bottom"/>
          </w:tcPr>
          <w:p>
            <w:pPr>
              <w:spacing w:after="0"/>
              <w:rPr>
                <w:sz w:val="19"/>
                <w:szCs w:val="19"/>
                <w:color w:val="auto"/>
              </w:rPr>
            </w:pPr>
          </w:p>
        </w:tc>
        <w:tc>
          <w:tcPr>
            <w:tcW w:w="11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shd w:val="clear" w:color="auto" w:fill="E7E7E2"/>
          </w:tcPr>
          <w:p>
            <w:pPr>
              <w:spacing w:after="0"/>
              <w:rPr>
                <w:sz w:val="19"/>
                <w:szCs w:val="19"/>
                <w:color w:val="auto"/>
              </w:rPr>
            </w:pPr>
          </w:p>
        </w:tc>
      </w:tr>
      <w:tr>
        <w:trPr>
          <w:trHeight w:val="224"/>
        </w:trPr>
        <w:tc>
          <w:tcPr>
            <w:tcW w:w="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shd w:val="clear" w:color="auto" w:fill="E7E7E2"/>
          </w:tcPr>
          <w:p>
            <w:pPr>
              <w:ind w:left="20"/>
              <w:spacing w:after="0" w:line="224" w:lineRule="exact"/>
              <w:rPr>
                <w:sz w:val="20"/>
                <w:szCs w:val="20"/>
                <w:color w:val="auto"/>
              </w:rPr>
            </w:pPr>
            <w:r>
              <w:rPr>
                <w:rFonts w:ascii="Arial" w:cs="Arial" w:eastAsia="Arial" w:hAnsi="Arial"/>
                <w:sz w:val="20"/>
                <w:szCs w:val="20"/>
                <w:color w:val="auto"/>
              </w:rPr>
              <w:t>pursuant</w:t>
            </w:r>
          </w:p>
        </w:tc>
        <w:tc>
          <w:tcPr>
            <w:tcW w:w="20" w:type="dxa"/>
            <w:vAlign w:val="bottom"/>
          </w:tcPr>
          <w:p>
            <w:pPr>
              <w:spacing w:after="0"/>
              <w:rPr>
                <w:sz w:val="19"/>
                <w:szCs w:val="19"/>
                <w:color w:val="auto"/>
              </w:rPr>
            </w:pPr>
          </w:p>
        </w:tc>
        <w:tc>
          <w:tcPr>
            <w:tcW w:w="11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shd w:val="clear" w:color="auto" w:fill="E7E7E2"/>
          </w:tcPr>
          <w:p>
            <w:pPr>
              <w:spacing w:after="0"/>
              <w:rPr>
                <w:sz w:val="19"/>
                <w:szCs w:val="19"/>
                <w:color w:val="auto"/>
              </w:rPr>
            </w:pPr>
          </w:p>
        </w:tc>
      </w:tr>
      <w:tr>
        <w:trPr>
          <w:trHeight w:val="224"/>
        </w:trPr>
        <w:tc>
          <w:tcPr>
            <w:tcW w:w="180" w:type="dxa"/>
            <w:vAlign w:val="bottom"/>
            <w:shd w:val="clear" w:color="auto" w:fill="E7E7E2"/>
          </w:tcPr>
          <w:p>
            <w:pPr>
              <w:ind w:left="20"/>
              <w:spacing w:after="0" w:line="224" w:lineRule="exact"/>
              <w:rPr>
                <w:sz w:val="20"/>
                <w:szCs w:val="20"/>
                <w:color w:val="auto"/>
              </w:rPr>
            </w:pPr>
            <w:r>
              <w:rPr>
                <w:rFonts w:ascii="Arial" w:cs="Arial" w:eastAsia="Arial" w:hAnsi="Arial"/>
                <w:sz w:val="20"/>
                <w:szCs w:val="20"/>
                <w:color w:val="auto"/>
              </w:rPr>
              <w:t>5</w:t>
            </w:r>
          </w:p>
        </w:tc>
        <w:tc>
          <w:tcPr>
            <w:tcW w:w="20" w:type="dxa"/>
            <w:vAlign w:val="bottom"/>
          </w:tcPr>
          <w:p>
            <w:pPr>
              <w:spacing w:after="0"/>
              <w:rPr>
                <w:sz w:val="19"/>
                <w:szCs w:val="19"/>
                <w:color w:val="auto"/>
              </w:rPr>
            </w:pPr>
          </w:p>
        </w:tc>
        <w:tc>
          <w:tcPr>
            <w:tcW w:w="940" w:type="dxa"/>
            <w:vAlign w:val="bottom"/>
            <w:shd w:val="clear" w:color="auto" w:fill="E7E7E2"/>
          </w:tcPr>
          <w:p>
            <w:pPr>
              <w:spacing w:after="0" w:line="224" w:lineRule="exact"/>
              <w:rPr>
                <w:sz w:val="20"/>
                <w:szCs w:val="20"/>
                <w:color w:val="auto"/>
              </w:rPr>
            </w:pPr>
            <w:r>
              <w:rPr>
                <w:rFonts w:ascii="Arial" w:cs="Arial" w:eastAsia="Arial" w:hAnsi="Arial"/>
                <w:sz w:val="20"/>
                <w:szCs w:val="20"/>
                <w:color w:val="auto"/>
              </w:rPr>
              <w:t>Equity</w:t>
            </w:r>
          </w:p>
        </w:tc>
        <w:tc>
          <w:tcPr>
            <w:tcW w:w="20" w:type="dxa"/>
            <w:vAlign w:val="bottom"/>
          </w:tcPr>
          <w:p>
            <w:pPr>
              <w:spacing w:after="0"/>
              <w:rPr>
                <w:sz w:val="19"/>
                <w:szCs w:val="19"/>
                <w:color w:val="auto"/>
              </w:rPr>
            </w:pPr>
          </w:p>
        </w:tc>
        <w:tc>
          <w:tcPr>
            <w:tcW w:w="1080" w:type="dxa"/>
            <w:vAlign w:val="bottom"/>
            <w:shd w:val="clear" w:color="auto" w:fill="E7E7E2"/>
          </w:tcPr>
          <w:p>
            <w:pPr>
              <w:ind w:left="20"/>
              <w:spacing w:after="0" w:line="224" w:lineRule="exact"/>
              <w:rPr>
                <w:sz w:val="20"/>
                <w:szCs w:val="20"/>
                <w:color w:val="auto"/>
              </w:rPr>
            </w:pPr>
            <w:r>
              <w:rPr>
                <w:rFonts w:ascii="Arial" w:cs="Arial" w:eastAsia="Arial" w:hAnsi="Arial"/>
                <w:sz w:val="20"/>
                <w:szCs w:val="20"/>
                <w:color w:val="auto"/>
              </w:rPr>
              <w:t>awards</w:t>
            </w:r>
          </w:p>
        </w:tc>
        <w:tc>
          <w:tcPr>
            <w:tcW w:w="20" w:type="dxa"/>
            <w:vAlign w:val="bottom"/>
          </w:tcPr>
          <w:p>
            <w:pPr>
              <w:spacing w:after="0"/>
              <w:rPr>
                <w:sz w:val="19"/>
                <w:szCs w:val="19"/>
                <w:color w:val="auto"/>
              </w:rPr>
            </w:pPr>
          </w:p>
        </w:tc>
        <w:tc>
          <w:tcPr>
            <w:tcW w:w="1100" w:type="dxa"/>
            <w:vAlign w:val="bottom"/>
            <w:shd w:val="clear" w:color="auto" w:fill="E7E7E2"/>
          </w:tcPr>
          <w:p>
            <w:pPr>
              <w:ind w:left="300"/>
              <w:spacing w:after="0" w:line="224" w:lineRule="exact"/>
              <w:rPr>
                <w:sz w:val="20"/>
                <w:szCs w:val="20"/>
                <w:color w:val="auto"/>
              </w:rPr>
            </w:pPr>
            <w:r>
              <w:rPr>
                <w:rFonts w:ascii="Arial" w:cs="Arial" w:eastAsia="Arial" w:hAnsi="Arial"/>
                <w:sz w:val="20"/>
                <w:szCs w:val="20"/>
                <w:color w:val="auto"/>
              </w:rPr>
              <w:t>Other</w:t>
            </w:r>
          </w:p>
        </w:tc>
        <w:tc>
          <w:tcPr>
            <w:tcW w:w="40" w:type="dxa"/>
            <w:vAlign w:val="bottom"/>
          </w:tcPr>
          <w:p>
            <w:pPr>
              <w:spacing w:after="0"/>
              <w:rPr>
                <w:sz w:val="19"/>
                <w:szCs w:val="19"/>
                <w:color w:val="auto"/>
              </w:rPr>
            </w:pPr>
          </w:p>
        </w:tc>
        <w:tc>
          <w:tcPr>
            <w:tcW w:w="1060" w:type="dxa"/>
            <w:vAlign w:val="bottom"/>
            <w:shd w:val="clear" w:color="auto" w:fill="E7E7E2"/>
          </w:tcPr>
          <w:p>
            <w:pPr>
              <w:jc w:val="right"/>
              <w:spacing w:after="0" w:line="224" w:lineRule="exact"/>
              <w:rPr>
                <w:sz w:val="20"/>
                <w:szCs w:val="20"/>
                <w:color w:val="auto"/>
              </w:rPr>
            </w:pPr>
            <w:r>
              <w:rPr>
                <w:rFonts w:ascii="Arial" w:cs="Arial" w:eastAsia="Arial" w:hAnsi="Arial"/>
                <w:sz w:val="20"/>
                <w:szCs w:val="20"/>
                <w:color w:val="auto"/>
              </w:rPr>
              <w:t>44,899,356</w:t>
            </w:r>
          </w:p>
        </w:tc>
      </w:tr>
      <w:tr>
        <w:trPr>
          <w:trHeight w:val="224"/>
        </w:trPr>
        <w:tc>
          <w:tcPr>
            <w:tcW w:w="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shd w:val="clear" w:color="auto" w:fill="E7E7E2"/>
          </w:tcPr>
          <w:p>
            <w:pPr>
              <w:ind w:left="20"/>
              <w:spacing w:after="0" w:line="224" w:lineRule="exact"/>
              <w:rPr>
                <w:sz w:val="20"/>
                <w:szCs w:val="20"/>
                <w:color w:val="auto"/>
              </w:rPr>
            </w:pPr>
            <w:r>
              <w:rPr>
                <w:rFonts w:ascii="Arial" w:cs="Arial" w:eastAsia="Arial" w:hAnsi="Arial"/>
                <w:sz w:val="20"/>
                <w:szCs w:val="20"/>
                <w:color w:val="auto"/>
              </w:rPr>
              <w:t>under the</w:t>
            </w:r>
          </w:p>
        </w:tc>
        <w:tc>
          <w:tcPr>
            <w:tcW w:w="20" w:type="dxa"/>
            <w:vAlign w:val="bottom"/>
          </w:tcPr>
          <w:p>
            <w:pPr>
              <w:spacing w:after="0"/>
              <w:rPr>
                <w:sz w:val="19"/>
                <w:szCs w:val="19"/>
                <w:color w:val="auto"/>
              </w:rPr>
            </w:pPr>
          </w:p>
        </w:tc>
        <w:tc>
          <w:tcPr>
            <w:tcW w:w="11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shd w:val="clear" w:color="auto" w:fill="E7E7E2"/>
          </w:tcPr>
          <w:p>
            <w:pPr>
              <w:spacing w:after="0"/>
              <w:rPr>
                <w:sz w:val="19"/>
                <w:szCs w:val="19"/>
                <w:color w:val="auto"/>
              </w:rPr>
            </w:pPr>
          </w:p>
        </w:tc>
      </w:tr>
      <w:tr>
        <w:trPr>
          <w:trHeight w:val="224"/>
        </w:trPr>
        <w:tc>
          <w:tcPr>
            <w:tcW w:w="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shd w:val="clear" w:color="auto" w:fill="E7E7E2"/>
          </w:tcPr>
          <w:p>
            <w:pPr>
              <w:ind w:left="20"/>
              <w:spacing w:after="0" w:line="224" w:lineRule="exact"/>
              <w:rPr>
                <w:sz w:val="20"/>
                <w:szCs w:val="20"/>
                <w:color w:val="auto"/>
              </w:rPr>
            </w:pPr>
            <w:r>
              <w:rPr>
                <w:rFonts w:ascii="Arial" w:cs="Arial" w:eastAsia="Arial" w:hAnsi="Arial"/>
                <w:sz w:val="20"/>
                <w:szCs w:val="20"/>
                <w:color w:val="auto"/>
                <w:w w:val="99"/>
              </w:rPr>
              <w:t>Registrant's</w:t>
            </w:r>
          </w:p>
        </w:tc>
        <w:tc>
          <w:tcPr>
            <w:tcW w:w="20" w:type="dxa"/>
            <w:vAlign w:val="bottom"/>
          </w:tcPr>
          <w:p>
            <w:pPr>
              <w:spacing w:after="0"/>
              <w:rPr>
                <w:sz w:val="19"/>
                <w:szCs w:val="19"/>
                <w:color w:val="auto"/>
              </w:rPr>
            </w:pPr>
          </w:p>
        </w:tc>
        <w:tc>
          <w:tcPr>
            <w:tcW w:w="11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shd w:val="clear" w:color="auto" w:fill="E7E7E2"/>
          </w:tcPr>
          <w:p>
            <w:pPr>
              <w:spacing w:after="0"/>
              <w:rPr>
                <w:sz w:val="19"/>
                <w:szCs w:val="19"/>
                <w:color w:val="auto"/>
              </w:rPr>
            </w:pPr>
          </w:p>
        </w:tc>
      </w:tr>
      <w:tr>
        <w:trPr>
          <w:trHeight w:val="224"/>
        </w:trPr>
        <w:tc>
          <w:tcPr>
            <w:tcW w:w="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shd w:val="clear" w:color="auto" w:fill="E7E7E2"/>
          </w:tcPr>
          <w:p>
            <w:pPr>
              <w:ind w:left="20"/>
              <w:spacing w:after="0" w:line="224" w:lineRule="exact"/>
              <w:rPr>
                <w:sz w:val="20"/>
                <w:szCs w:val="20"/>
                <w:color w:val="auto"/>
              </w:rPr>
            </w:pPr>
            <w:r>
              <w:rPr>
                <w:rFonts w:ascii="Arial" w:cs="Arial" w:eastAsia="Arial" w:hAnsi="Arial"/>
                <w:sz w:val="20"/>
                <w:szCs w:val="20"/>
                <w:color w:val="auto"/>
              </w:rPr>
              <w:t>2026</w:t>
            </w:r>
          </w:p>
        </w:tc>
        <w:tc>
          <w:tcPr>
            <w:tcW w:w="20" w:type="dxa"/>
            <w:vAlign w:val="bottom"/>
          </w:tcPr>
          <w:p>
            <w:pPr>
              <w:spacing w:after="0"/>
              <w:rPr>
                <w:sz w:val="19"/>
                <w:szCs w:val="19"/>
                <w:color w:val="auto"/>
              </w:rPr>
            </w:pPr>
          </w:p>
        </w:tc>
        <w:tc>
          <w:tcPr>
            <w:tcW w:w="11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shd w:val="clear" w:color="auto" w:fill="E7E7E2"/>
          </w:tcPr>
          <w:p>
            <w:pPr>
              <w:spacing w:after="0"/>
              <w:rPr>
                <w:sz w:val="19"/>
                <w:szCs w:val="19"/>
                <w:color w:val="auto"/>
              </w:rPr>
            </w:pPr>
          </w:p>
        </w:tc>
      </w:tr>
      <w:tr>
        <w:trPr>
          <w:trHeight w:val="224"/>
        </w:trPr>
        <w:tc>
          <w:tcPr>
            <w:tcW w:w="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shd w:val="clear" w:color="auto" w:fill="E7E7E2"/>
          </w:tcPr>
          <w:p>
            <w:pPr>
              <w:ind w:left="20"/>
              <w:spacing w:after="0" w:line="224" w:lineRule="exact"/>
              <w:rPr>
                <w:sz w:val="20"/>
                <w:szCs w:val="20"/>
                <w:color w:val="auto"/>
              </w:rPr>
            </w:pPr>
            <w:r>
              <w:rPr>
                <w:rFonts w:ascii="Arial" w:cs="Arial" w:eastAsia="Arial" w:hAnsi="Arial"/>
                <w:sz w:val="20"/>
                <w:szCs w:val="20"/>
                <w:color w:val="auto"/>
              </w:rPr>
              <w:t>Incentive</w:t>
            </w:r>
          </w:p>
        </w:tc>
        <w:tc>
          <w:tcPr>
            <w:tcW w:w="20" w:type="dxa"/>
            <w:vAlign w:val="bottom"/>
          </w:tcPr>
          <w:p>
            <w:pPr>
              <w:spacing w:after="0"/>
              <w:rPr>
                <w:sz w:val="19"/>
                <w:szCs w:val="19"/>
                <w:color w:val="auto"/>
              </w:rPr>
            </w:pPr>
          </w:p>
        </w:tc>
        <w:tc>
          <w:tcPr>
            <w:tcW w:w="11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shd w:val="clear" w:color="auto" w:fill="E7E7E2"/>
          </w:tcPr>
          <w:p>
            <w:pPr>
              <w:spacing w:after="0"/>
              <w:rPr>
                <w:sz w:val="19"/>
                <w:szCs w:val="19"/>
                <w:color w:val="auto"/>
              </w:rPr>
            </w:pPr>
          </w:p>
        </w:tc>
      </w:tr>
      <w:tr>
        <w:trPr>
          <w:trHeight w:val="224"/>
        </w:trPr>
        <w:tc>
          <w:tcPr>
            <w:tcW w:w="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shd w:val="clear" w:color="auto" w:fill="E7E7E2"/>
          </w:tcPr>
          <w:p>
            <w:pPr>
              <w:ind w:left="20"/>
              <w:spacing w:after="0" w:line="224" w:lineRule="exact"/>
              <w:rPr>
                <w:sz w:val="20"/>
                <w:szCs w:val="20"/>
                <w:color w:val="auto"/>
              </w:rPr>
            </w:pPr>
            <w:r>
              <w:rPr>
                <w:rFonts w:ascii="Arial" w:cs="Arial" w:eastAsia="Arial" w:hAnsi="Arial"/>
                <w:sz w:val="20"/>
                <w:szCs w:val="20"/>
                <w:color w:val="auto"/>
              </w:rPr>
              <w:t>Award Plan</w:t>
            </w:r>
          </w:p>
        </w:tc>
        <w:tc>
          <w:tcPr>
            <w:tcW w:w="20" w:type="dxa"/>
            <w:vAlign w:val="bottom"/>
          </w:tcPr>
          <w:p>
            <w:pPr>
              <w:spacing w:after="0"/>
              <w:rPr>
                <w:sz w:val="19"/>
                <w:szCs w:val="19"/>
                <w:color w:val="auto"/>
              </w:rPr>
            </w:pPr>
          </w:p>
        </w:tc>
        <w:tc>
          <w:tcPr>
            <w:tcW w:w="11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shd w:val="clear" w:color="auto" w:fill="E7E7E2"/>
          </w:tcPr>
          <w:p>
            <w:pPr>
              <w:spacing w:after="0"/>
              <w:rPr>
                <w:sz w:val="19"/>
                <w:szCs w:val="19"/>
                <w:color w:val="auto"/>
              </w:rPr>
            </w:pPr>
          </w:p>
        </w:tc>
      </w:tr>
      <w:tr>
        <w:trPr>
          <w:trHeight w:val="224"/>
        </w:trPr>
        <w:tc>
          <w:tcPr>
            <w:tcW w:w="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shd w:val="clear" w:color="auto" w:fill="E7E7E2"/>
          </w:tcPr>
          <w:p>
            <w:pPr>
              <w:ind w:left="20"/>
              <w:spacing w:after="0" w:line="224" w:lineRule="exact"/>
              <w:rPr>
                <w:sz w:val="20"/>
                <w:szCs w:val="20"/>
                <w:color w:val="auto"/>
              </w:rPr>
            </w:pPr>
            <w:r>
              <w:rPr>
                <w:rFonts w:ascii="Arial" w:cs="Arial" w:eastAsia="Arial" w:hAnsi="Arial"/>
                <w:sz w:val="20"/>
                <w:szCs w:val="20"/>
                <w:color w:val="auto"/>
              </w:rPr>
              <w:t>(the "2026</w:t>
            </w:r>
          </w:p>
        </w:tc>
        <w:tc>
          <w:tcPr>
            <w:tcW w:w="20" w:type="dxa"/>
            <w:vAlign w:val="bottom"/>
          </w:tcPr>
          <w:p>
            <w:pPr>
              <w:spacing w:after="0"/>
              <w:rPr>
                <w:sz w:val="19"/>
                <w:szCs w:val="19"/>
                <w:color w:val="auto"/>
              </w:rPr>
            </w:pPr>
          </w:p>
        </w:tc>
        <w:tc>
          <w:tcPr>
            <w:tcW w:w="11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shd w:val="clear" w:color="auto" w:fill="E7E7E2"/>
          </w:tcPr>
          <w:p>
            <w:pPr>
              <w:spacing w:after="0"/>
              <w:rPr>
                <w:sz w:val="19"/>
                <w:szCs w:val="19"/>
                <w:color w:val="auto"/>
              </w:rPr>
            </w:pPr>
          </w:p>
        </w:tc>
      </w:tr>
      <w:tr>
        <w:trPr>
          <w:trHeight w:val="262"/>
        </w:trPr>
        <w:tc>
          <w:tcPr>
            <w:tcW w:w="180" w:type="dxa"/>
            <w:vAlign w:val="bottom"/>
            <w:shd w:val="clear" w:color="auto" w:fill="E7E7E2"/>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shd w:val="clear" w:color="auto" w:fill="E7E7E2"/>
          </w:tcPr>
          <w:p>
            <w:pPr>
              <w:spacing w:after="0"/>
              <w:rPr>
                <w:sz w:val="22"/>
                <w:szCs w:val="22"/>
                <w:color w:val="auto"/>
              </w:rPr>
            </w:pPr>
          </w:p>
        </w:tc>
        <w:tc>
          <w:tcPr>
            <w:tcW w:w="20" w:type="dxa"/>
            <w:vAlign w:val="bottom"/>
          </w:tcPr>
          <w:p>
            <w:pPr>
              <w:spacing w:after="0"/>
              <w:rPr>
                <w:sz w:val="22"/>
                <w:szCs w:val="22"/>
                <w:color w:val="auto"/>
              </w:rPr>
            </w:pPr>
          </w:p>
        </w:tc>
        <w:tc>
          <w:tcPr>
            <w:tcW w:w="1080" w:type="dxa"/>
            <w:vAlign w:val="bottom"/>
            <w:shd w:val="clear" w:color="auto" w:fill="E7E7E2"/>
          </w:tcPr>
          <w:p>
            <w:pPr>
              <w:ind w:left="20"/>
              <w:spacing w:after="0"/>
              <w:rPr>
                <w:sz w:val="20"/>
                <w:szCs w:val="20"/>
                <w:color w:val="auto"/>
              </w:rPr>
            </w:pPr>
            <w:r>
              <w:rPr>
                <w:rFonts w:ascii="Arial" w:cs="Arial" w:eastAsia="Arial" w:hAnsi="Arial"/>
                <w:sz w:val="20"/>
                <w:szCs w:val="20"/>
                <w:color w:val="auto"/>
              </w:rPr>
              <w:t>Plan")</w:t>
            </w:r>
          </w:p>
        </w:tc>
        <w:tc>
          <w:tcPr>
            <w:tcW w:w="20" w:type="dxa"/>
            <w:vAlign w:val="bottom"/>
          </w:tcPr>
          <w:p>
            <w:pPr>
              <w:spacing w:after="0"/>
              <w:rPr>
                <w:sz w:val="22"/>
                <w:szCs w:val="22"/>
                <w:color w:val="auto"/>
              </w:rPr>
            </w:pPr>
          </w:p>
        </w:tc>
        <w:tc>
          <w:tcPr>
            <w:tcW w:w="1100" w:type="dxa"/>
            <w:vAlign w:val="bottom"/>
            <w:shd w:val="clear" w:color="auto" w:fill="E7E7E2"/>
          </w:tcPr>
          <w:p>
            <w:pPr>
              <w:spacing w:after="0"/>
              <w:rPr>
                <w:sz w:val="22"/>
                <w:szCs w:val="22"/>
                <w:color w:val="auto"/>
              </w:rPr>
            </w:pPr>
          </w:p>
        </w:tc>
        <w:tc>
          <w:tcPr>
            <w:tcW w:w="40" w:type="dxa"/>
            <w:vAlign w:val="bottom"/>
          </w:tcPr>
          <w:p>
            <w:pPr>
              <w:spacing w:after="0"/>
              <w:rPr>
                <w:sz w:val="22"/>
                <w:szCs w:val="22"/>
                <w:color w:val="auto"/>
              </w:rPr>
            </w:pPr>
          </w:p>
        </w:tc>
        <w:tc>
          <w:tcPr>
            <w:tcW w:w="1060" w:type="dxa"/>
            <w:vAlign w:val="bottom"/>
            <w:shd w:val="clear" w:color="auto" w:fill="E7E7E2"/>
          </w:tcPr>
          <w:p>
            <w:pPr>
              <w:spacing w:after="0"/>
              <w:rPr>
                <w:sz w:val="22"/>
                <w:szCs w:val="22"/>
                <w:color w:val="auto"/>
              </w:rPr>
            </w:pPr>
          </w:p>
        </w:tc>
      </w:tr>
      <w:tr>
        <w:trPr>
          <w:trHeight w:val="235"/>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20"/>
                <w:szCs w:val="20"/>
                <w:color w:val="auto"/>
              </w:rPr>
              <w:t>Class A</w:t>
            </w: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24"/>
        </w:trPr>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ind w:left="20"/>
              <w:spacing w:after="0" w:line="224" w:lineRule="exact"/>
              <w:rPr>
                <w:sz w:val="20"/>
                <w:szCs w:val="20"/>
                <w:color w:val="auto"/>
              </w:rPr>
            </w:pPr>
            <w:r>
              <w:rPr>
                <w:rFonts w:ascii="Arial" w:cs="Arial" w:eastAsia="Arial" w:hAnsi="Arial"/>
                <w:sz w:val="20"/>
                <w:szCs w:val="20"/>
                <w:color w:val="auto"/>
              </w:rPr>
              <w:t>Common</w:t>
            </w: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4"/>
        </w:trPr>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ind w:left="20"/>
              <w:spacing w:after="0" w:line="224" w:lineRule="exact"/>
              <w:rPr>
                <w:sz w:val="20"/>
                <w:szCs w:val="20"/>
                <w:color w:val="auto"/>
              </w:rPr>
            </w:pPr>
            <w:r>
              <w:rPr>
                <w:rFonts w:ascii="Arial" w:cs="Arial" w:eastAsia="Arial" w:hAnsi="Arial"/>
                <w:sz w:val="20"/>
                <w:szCs w:val="20"/>
                <w:color w:val="auto"/>
              </w:rPr>
              <w:t>Stock</w:t>
            </w: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4"/>
        </w:trPr>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ind w:left="20"/>
              <w:spacing w:after="0" w:line="224" w:lineRule="exact"/>
              <w:rPr>
                <w:sz w:val="20"/>
                <w:szCs w:val="20"/>
                <w:color w:val="auto"/>
              </w:rPr>
            </w:pPr>
            <w:r>
              <w:rPr>
                <w:rFonts w:ascii="Arial" w:cs="Arial" w:eastAsia="Arial" w:hAnsi="Arial"/>
                <w:sz w:val="20"/>
                <w:szCs w:val="20"/>
                <w:color w:val="auto"/>
              </w:rPr>
              <w:t>reserved</w:t>
            </w: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4"/>
        </w:trPr>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ind w:left="20"/>
              <w:spacing w:after="0" w:line="224" w:lineRule="exact"/>
              <w:rPr>
                <w:sz w:val="20"/>
                <w:szCs w:val="20"/>
                <w:color w:val="auto"/>
              </w:rPr>
            </w:pPr>
            <w:r>
              <w:rPr>
                <w:rFonts w:ascii="Arial" w:cs="Arial" w:eastAsia="Arial" w:hAnsi="Arial"/>
                <w:sz w:val="20"/>
                <w:szCs w:val="20"/>
                <w:color w:val="auto"/>
              </w:rPr>
              <w:t>for</w:t>
            </w: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4"/>
        </w:trPr>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ind w:left="20"/>
              <w:spacing w:after="0" w:line="224" w:lineRule="exact"/>
              <w:rPr>
                <w:sz w:val="20"/>
                <w:szCs w:val="20"/>
                <w:color w:val="auto"/>
              </w:rPr>
            </w:pPr>
            <w:r>
              <w:rPr>
                <w:rFonts w:ascii="Arial" w:cs="Arial" w:eastAsia="Arial" w:hAnsi="Arial"/>
                <w:sz w:val="20"/>
                <w:szCs w:val="20"/>
                <w:color w:val="auto"/>
              </w:rPr>
              <w:t>issuance</w:t>
            </w: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4"/>
        </w:trPr>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ind w:left="20"/>
              <w:spacing w:after="0" w:line="224" w:lineRule="exact"/>
              <w:rPr>
                <w:sz w:val="20"/>
                <w:szCs w:val="20"/>
                <w:color w:val="auto"/>
              </w:rPr>
            </w:pPr>
            <w:r>
              <w:rPr>
                <w:rFonts w:ascii="Arial" w:cs="Arial" w:eastAsia="Arial" w:hAnsi="Arial"/>
                <w:sz w:val="20"/>
                <w:szCs w:val="20"/>
                <w:color w:val="auto"/>
              </w:rPr>
              <w:t>pursuant to</w:t>
            </w: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44"/>
        </w:trPr>
        <w:tc>
          <w:tcPr>
            <w:tcW w:w="1140" w:type="dxa"/>
            <w:vAlign w:val="bottom"/>
            <w:gridSpan w:val="3"/>
          </w:tcPr>
          <w:p>
            <w:pPr>
              <w:ind w:left="20"/>
              <w:spacing w:after="0"/>
              <w:rPr>
                <w:sz w:val="20"/>
                <w:szCs w:val="20"/>
                <w:color w:val="auto"/>
              </w:rPr>
            </w:pPr>
            <w:r>
              <w:rPr>
                <w:rFonts w:ascii="Arial" w:cs="Arial" w:eastAsia="Arial" w:hAnsi="Arial"/>
                <w:sz w:val="20"/>
                <w:szCs w:val="20"/>
                <w:color w:val="auto"/>
              </w:rPr>
              <w:t>6 Equity</w:t>
            </w:r>
          </w:p>
        </w:tc>
        <w:tc>
          <w:tcPr>
            <w:tcW w:w="20" w:type="dxa"/>
            <w:vAlign w:val="bottom"/>
          </w:tcPr>
          <w:p>
            <w:pPr>
              <w:spacing w:after="0"/>
              <w:rPr>
                <w:sz w:val="21"/>
                <w:szCs w:val="21"/>
                <w:color w:val="auto"/>
              </w:rPr>
            </w:pPr>
          </w:p>
        </w:tc>
        <w:tc>
          <w:tcPr>
            <w:tcW w:w="1080" w:type="dxa"/>
            <w:vAlign w:val="bottom"/>
          </w:tcPr>
          <w:p>
            <w:pPr>
              <w:ind w:left="20"/>
              <w:spacing w:after="0"/>
              <w:rPr>
                <w:sz w:val="20"/>
                <w:szCs w:val="20"/>
                <w:color w:val="auto"/>
              </w:rPr>
            </w:pPr>
            <w:r>
              <w:rPr>
                <w:rFonts w:ascii="Arial" w:cs="Arial" w:eastAsia="Arial" w:hAnsi="Arial"/>
                <w:sz w:val="20"/>
                <w:szCs w:val="20"/>
                <w:color w:val="auto"/>
              </w:rPr>
              <w:t>awards</w:t>
            </w:r>
          </w:p>
        </w:tc>
        <w:tc>
          <w:tcPr>
            <w:tcW w:w="20" w:type="dxa"/>
            <w:vAlign w:val="bottom"/>
          </w:tcPr>
          <w:p>
            <w:pPr>
              <w:spacing w:after="0"/>
              <w:rPr>
                <w:sz w:val="21"/>
                <w:szCs w:val="21"/>
                <w:color w:val="auto"/>
              </w:rPr>
            </w:pPr>
          </w:p>
        </w:tc>
        <w:tc>
          <w:tcPr>
            <w:tcW w:w="1100" w:type="dxa"/>
            <w:vAlign w:val="bottom"/>
          </w:tcPr>
          <w:p>
            <w:pPr>
              <w:ind w:left="300"/>
              <w:spacing w:after="0"/>
              <w:rPr>
                <w:sz w:val="20"/>
                <w:szCs w:val="20"/>
                <w:color w:val="auto"/>
              </w:rPr>
            </w:pPr>
            <w:r>
              <w:rPr>
                <w:rFonts w:ascii="Arial" w:cs="Arial" w:eastAsia="Arial" w:hAnsi="Arial"/>
                <w:sz w:val="20"/>
                <w:szCs w:val="20"/>
                <w:color w:val="auto"/>
              </w:rPr>
              <w:t>Other</w:t>
            </w:r>
          </w:p>
        </w:tc>
        <w:tc>
          <w:tcPr>
            <w:tcW w:w="1100" w:type="dxa"/>
            <w:vAlign w:val="bottom"/>
            <w:gridSpan w:val="2"/>
          </w:tcPr>
          <w:p>
            <w:pPr>
              <w:jc w:val="right"/>
              <w:spacing w:after="0"/>
              <w:rPr>
                <w:sz w:val="20"/>
                <w:szCs w:val="20"/>
                <w:color w:val="auto"/>
              </w:rPr>
            </w:pPr>
            <w:r>
              <w:rPr>
                <w:rFonts w:ascii="Arial" w:cs="Arial" w:eastAsia="Arial" w:hAnsi="Arial"/>
                <w:sz w:val="20"/>
                <w:szCs w:val="20"/>
                <w:color w:val="auto"/>
              </w:rPr>
              <w:t>3,554,189</w:t>
            </w:r>
          </w:p>
        </w:tc>
      </w:tr>
    </w:tbl>
    <w:p>
      <w:pPr>
        <w:ind w:left="1180"/>
        <w:spacing w:after="0" w:line="233" w:lineRule="auto"/>
        <w:rPr>
          <w:sz w:val="20"/>
          <w:szCs w:val="20"/>
          <w:color w:val="auto"/>
        </w:rPr>
      </w:pPr>
      <w:r>
        <w:rPr>
          <w:rFonts w:ascii="Arial" w:cs="Arial" w:eastAsia="Arial" w:hAnsi="Arial"/>
          <w:sz w:val="20"/>
          <w:szCs w:val="20"/>
          <w:color w:val="auto"/>
        </w:rPr>
        <w:t>under the</w:t>
      </w:r>
    </w:p>
    <w:p>
      <w:pPr>
        <w:ind w:left="1180"/>
        <w:spacing w:after="0" w:line="234" w:lineRule="auto"/>
        <w:rPr>
          <w:sz w:val="20"/>
          <w:szCs w:val="20"/>
          <w:color w:val="auto"/>
        </w:rPr>
      </w:pPr>
      <w:r>
        <w:rPr>
          <w:rFonts w:ascii="Arial" w:cs="Arial" w:eastAsia="Arial" w:hAnsi="Arial"/>
          <w:sz w:val="20"/>
          <w:szCs w:val="20"/>
          <w:color w:val="auto"/>
        </w:rPr>
        <w:t>Registrant's</w:t>
      </w:r>
    </w:p>
    <w:p>
      <w:pPr>
        <w:ind w:left="1180"/>
        <w:spacing w:after="0" w:line="234" w:lineRule="auto"/>
        <w:rPr>
          <w:sz w:val="20"/>
          <w:szCs w:val="20"/>
          <w:color w:val="auto"/>
        </w:rPr>
      </w:pPr>
      <w:r>
        <w:rPr>
          <w:rFonts w:ascii="Arial" w:cs="Arial" w:eastAsia="Arial" w:hAnsi="Arial"/>
          <w:sz w:val="20"/>
          <w:szCs w:val="20"/>
          <w:color w:val="auto"/>
        </w:rPr>
        <w:t>Employee</w:t>
      </w:r>
    </w:p>
    <w:p>
      <w:pPr>
        <w:ind w:left="1180"/>
        <w:spacing w:after="0" w:line="233" w:lineRule="auto"/>
        <w:rPr>
          <w:sz w:val="20"/>
          <w:szCs w:val="20"/>
          <w:color w:val="auto"/>
        </w:rPr>
      </w:pPr>
      <w:r>
        <w:rPr>
          <w:rFonts w:ascii="Arial" w:cs="Arial" w:eastAsia="Arial" w:hAnsi="Arial"/>
          <w:sz w:val="20"/>
          <w:szCs w:val="20"/>
          <w:color w:val="auto"/>
        </w:rPr>
        <w:t>Stock</w:t>
      </w:r>
    </w:p>
    <w:p>
      <w:pPr>
        <w:ind w:left="1180"/>
        <w:spacing w:after="0" w:line="234" w:lineRule="auto"/>
        <w:rPr>
          <w:sz w:val="20"/>
          <w:szCs w:val="20"/>
          <w:color w:val="auto"/>
        </w:rPr>
      </w:pPr>
      <w:r>
        <w:rPr>
          <w:rFonts w:ascii="Arial" w:cs="Arial" w:eastAsia="Arial" w:hAnsi="Arial"/>
          <w:sz w:val="20"/>
          <w:szCs w:val="20"/>
          <w:color w:val="auto"/>
        </w:rPr>
        <w:t>Purchase</w:t>
      </w:r>
    </w:p>
    <w:p>
      <w:pPr>
        <w:ind w:left="1180"/>
        <w:spacing w:after="0" w:line="234" w:lineRule="auto"/>
        <w:rPr>
          <w:sz w:val="20"/>
          <w:szCs w:val="20"/>
          <w:color w:val="auto"/>
        </w:rPr>
      </w:pPr>
      <w:r>
        <w:rPr>
          <w:rFonts w:ascii="Arial" w:cs="Arial" w:eastAsia="Arial" w:hAnsi="Arial"/>
          <w:sz w:val="20"/>
          <w:szCs w:val="20"/>
          <w:color w:val="auto"/>
        </w:rPr>
        <w:t>Plan (the</w:t>
      </w:r>
    </w:p>
    <w:p>
      <w:pPr>
        <w:ind w:left="1180"/>
        <w:spacing w:after="0"/>
        <w:rPr>
          <w:sz w:val="20"/>
          <w:szCs w:val="20"/>
          <w:color w:val="auto"/>
        </w:rPr>
      </w:pPr>
      <w:r>
        <w:rPr>
          <w:rFonts w:ascii="Arial" w:cs="Arial" w:eastAsia="Arial" w:hAnsi="Arial"/>
          <w:sz w:val="20"/>
          <w:szCs w:val="20"/>
          <w:color w:val="auto"/>
        </w:rPr>
        <w:t>"ESPP")</w:t>
      </w:r>
    </w:p>
    <w:p>
      <w:pPr>
        <w:spacing w:after="0" w:line="24" w:lineRule="exact"/>
        <w:rPr>
          <w:sz w:val="20"/>
          <w:szCs w:val="20"/>
          <w:color w:val="auto"/>
        </w:rPr>
      </w:pPr>
    </w:p>
    <w:p>
      <w:pPr>
        <w:ind w:left="2360"/>
        <w:spacing w:after="0"/>
        <w:rPr>
          <w:sz w:val="20"/>
          <w:szCs w:val="20"/>
          <w:color w:val="auto"/>
        </w:rPr>
      </w:pPr>
      <w:r>
        <w:rPr>
          <w:rFonts w:ascii="Arial" w:cs="Arial" w:eastAsia="Arial" w:hAnsi="Arial"/>
          <w:sz w:val="19"/>
          <w:szCs w:val="19"/>
          <w:color w:val="auto"/>
        </w:rPr>
        <w:t>Total Offering Amounts:</w:t>
      </w:r>
    </w:p>
    <w:p>
      <w:pPr>
        <w:spacing w:after="0" w:line="279" w:lineRule="exact"/>
        <w:rPr>
          <w:sz w:val="20"/>
          <w:szCs w:val="20"/>
          <w:color w:val="auto"/>
        </w:rPr>
      </w:pPr>
    </w:p>
    <w:p>
      <w:pPr>
        <w:ind w:left="2880"/>
        <w:spacing w:after="0"/>
        <w:rPr>
          <w:sz w:val="20"/>
          <w:szCs w:val="20"/>
          <w:color w:val="auto"/>
        </w:rPr>
      </w:pPr>
      <w:r>
        <w:rPr>
          <w:rFonts w:ascii="Arial" w:cs="Arial" w:eastAsia="Arial" w:hAnsi="Arial"/>
          <w:sz w:val="19"/>
          <w:szCs w:val="19"/>
          <w:color w:val="auto"/>
        </w:rPr>
        <w:t>Total Fee Offsets:</w:t>
      </w:r>
    </w:p>
    <w:p>
      <w:pPr>
        <w:spacing w:after="0" w:line="55"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Net Fee Due: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60" w:type="dxa"/>
            <w:vAlign w:val="bottom"/>
            <w:vMerge w:val="restart"/>
          </w:tcPr>
          <w:p>
            <w:pPr>
              <w:jc w:val="right"/>
              <w:spacing w:after="0"/>
              <w:rPr>
                <w:sz w:val="20"/>
                <w:szCs w:val="20"/>
                <w:color w:val="auto"/>
              </w:rPr>
            </w:pPr>
            <w:r>
              <w:rPr>
                <w:rFonts w:ascii="Arial" w:cs="Arial" w:eastAsia="Arial" w:hAnsi="Arial"/>
                <w:sz w:val="20"/>
                <w:szCs w:val="20"/>
                <w:color w:val="auto"/>
                <w:w w:val="97"/>
              </w:rPr>
              <w:t>$ 185.00</w:t>
            </w:r>
          </w:p>
        </w:tc>
        <w:tc>
          <w:tcPr>
            <w:tcW w:w="1660" w:type="dxa"/>
            <w:vAlign w:val="bottom"/>
          </w:tcPr>
          <w:p>
            <w:pPr>
              <w:jc w:val="right"/>
              <w:spacing w:after="0"/>
              <w:rPr>
                <w:sz w:val="20"/>
                <w:szCs w:val="20"/>
                <w:color w:val="auto"/>
              </w:rPr>
            </w:pPr>
            <w:r>
              <w:rPr>
                <w:rFonts w:ascii="Arial" w:cs="Arial" w:eastAsia="Arial" w:hAnsi="Arial"/>
                <w:sz w:val="20"/>
                <w:szCs w:val="20"/>
                <w:color w:val="auto"/>
              </w:rPr>
              <w:t>$</w:t>
            </w:r>
          </w:p>
        </w:tc>
        <w:tc>
          <w:tcPr>
            <w:tcW w:w="1080" w:type="dxa"/>
            <w:vAlign w:val="bottom"/>
            <w:vMerge w:val="restart"/>
          </w:tcPr>
          <w:p>
            <w:pPr>
              <w:jc w:val="right"/>
              <w:ind w:right="20"/>
              <w:spacing w:after="0"/>
              <w:rPr>
                <w:sz w:val="20"/>
                <w:szCs w:val="20"/>
                <w:color w:val="auto"/>
              </w:rPr>
            </w:pPr>
            <w:r>
              <w:rPr>
                <w:rFonts w:ascii="Arial" w:cs="Arial" w:eastAsia="Arial" w:hAnsi="Arial"/>
                <w:sz w:val="20"/>
                <w:szCs w:val="20"/>
                <w:color w:val="auto"/>
                <w:w w:val="99"/>
              </w:rPr>
              <w:t>0.0001381</w:t>
            </w:r>
          </w:p>
        </w:tc>
        <w:tc>
          <w:tcPr>
            <w:tcW w:w="1400" w:type="dxa"/>
            <w:vAlign w:val="bottom"/>
            <w:vMerge w:val="restart"/>
          </w:tcPr>
          <w:p>
            <w:pPr>
              <w:jc w:val="right"/>
              <w:spacing w:after="0"/>
              <w:rPr>
                <w:sz w:val="20"/>
                <w:szCs w:val="20"/>
                <w:color w:val="auto"/>
              </w:rPr>
            </w:pPr>
            <w:r>
              <w:rPr>
                <w:rFonts w:ascii="Arial" w:cs="Arial" w:eastAsia="Arial" w:hAnsi="Arial"/>
                <w:sz w:val="20"/>
                <w:szCs w:val="20"/>
                <w:color w:val="auto"/>
              </w:rPr>
              <w:t>$ 1,147,111.20</w:t>
            </w:r>
          </w:p>
        </w:tc>
        <w:tc>
          <w:tcPr>
            <w:tcW w:w="0" w:type="dxa"/>
            <w:vAlign w:val="bottom"/>
          </w:tcPr>
          <w:p>
            <w:pPr>
              <w:spacing w:after="0"/>
              <w:rPr>
                <w:sz w:val="1"/>
                <w:szCs w:val="1"/>
                <w:color w:val="auto"/>
              </w:rPr>
            </w:pPr>
          </w:p>
        </w:tc>
      </w:tr>
      <w:tr>
        <w:trPr>
          <w:trHeight w:val="264"/>
        </w:trPr>
        <w:tc>
          <w:tcPr>
            <w:tcW w:w="860" w:type="dxa"/>
            <w:vAlign w:val="bottom"/>
            <w:vMerge w:val="continue"/>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20"/>
                <w:szCs w:val="20"/>
                <w:color w:val="auto"/>
              </w:rPr>
              <w:t>8,306,380,860.00</w:t>
            </w:r>
          </w:p>
        </w:tc>
        <w:tc>
          <w:tcPr>
            <w:tcW w:w="1080" w:type="dxa"/>
            <w:vAlign w:val="bottom"/>
            <w:vMerge w:val="continue"/>
          </w:tcPr>
          <w:p>
            <w:pPr>
              <w:spacing w:after="0"/>
              <w:rPr>
                <w:sz w:val="22"/>
                <w:szCs w:val="22"/>
                <w:color w:val="auto"/>
              </w:rPr>
            </w:pPr>
          </w:p>
        </w:tc>
        <w:tc>
          <w:tcPr>
            <w:tcW w:w="14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-3667125</wp:posOffset>
            </wp:positionV>
            <wp:extent cx="6428740" cy="74460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6">
                      <a:extLst>
                        <a:ext uri="{28A0092B-C50C-407E-A947-70E740481C1C}"/>
                      </a:extLst>
                    </a:blip>
                    <a:srcRect/>
                    <a:stretch>
                      <a:fillRect/>
                    </a:stretch>
                  </pic:blipFill>
                  <pic:spPr bwMode="auto">
                    <a:xfrm>
                      <a:off x="0" y="0"/>
                      <a:ext cx="6428740" cy="744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920" w:val="left"/>
          <w:tab w:leader="none" w:pos="3920" w:val="left"/>
        </w:tabs>
        <w:rPr>
          <w:sz w:val="20"/>
          <w:szCs w:val="20"/>
          <w:color w:val="auto"/>
        </w:rPr>
      </w:pPr>
      <w:r>
        <w:rPr>
          <w:rFonts w:ascii="Arial" w:cs="Arial" w:eastAsia="Arial" w:hAnsi="Arial"/>
          <w:sz w:val="20"/>
          <w:szCs w:val="20"/>
          <w:color w:val="auto"/>
        </w:rPr>
        <w:t>$ 185.00</w:t>
        <w:tab/>
        <w:t>$ 657,524,965.00 0.0001381</w:t>
      </w:r>
      <w:r>
        <w:rPr>
          <w:sz w:val="20"/>
          <w:szCs w:val="20"/>
          <w:color w:val="auto"/>
        </w:rPr>
        <w:tab/>
      </w:r>
      <w:r>
        <w:rPr>
          <w:rFonts w:ascii="Arial" w:cs="Arial" w:eastAsia="Arial" w:hAnsi="Arial"/>
          <w:sz w:val="20"/>
          <w:szCs w:val="20"/>
          <w:color w:val="auto"/>
        </w:rPr>
        <w:t>$ 90,804.20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660" w:hanging="1279"/>
        <w:spacing w:after="0"/>
        <w:tabs>
          <w:tab w:leader="none" w:pos="3660" w:val="left"/>
        </w:tabs>
        <w:numPr>
          <w:ilvl w:val="0"/>
          <w:numId w:val="5"/>
        </w:numPr>
        <w:rPr>
          <w:rFonts w:ascii="Arial" w:cs="Arial" w:eastAsia="Arial" w:hAnsi="Arial"/>
          <w:sz w:val="20"/>
          <w:szCs w:val="20"/>
          <w:color w:val="auto"/>
        </w:rPr>
      </w:pPr>
      <w:r>
        <w:rPr>
          <w:rFonts w:ascii="Arial" w:cs="Arial" w:eastAsia="Arial" w:hAnsi="Arial"/>
          <w:sz w:val="20"/>
          <w:szCs w:val="20"/>
          <w:color w:val="auto"/>
        </w:rPr>
        <w:t>$ 1,947,149.50</w:t>
      </w:r>
    </w:p>
    <w:p>
      <w:pPr>
        <w:spacing w:after="0" w:line="14" w:lineRule="exact"/>
        <w:rPr>
          <w:rFonts w:ascii="Arial" w:cs="Arial" w:eastAsia="Arial" w:hAnsi="Arial"/>
          <w:sz w:val="20"/>
          <w:szCs w:val="20"/>
          <w:color w:val="auto"/>
        </w:rPr>
      </w:pPr>
    </w:p>
    <w:p>
      <w:pPr>
        <w:ind w:left="840"/>
        <w:spacing w:after="0"/>
        <w:rPr>
          <w:rFonts w:ascii="Arial" w:cs="Arial" w:eastAsia="Arial" w:hAnsi="Arial"/>
          <w:sz w:val="20"/>
          <w:szCs w:val="20"/>
          <w:color w:val="auto"/>
        </w:rPr>
      </w:pPr>
      <w:r>
        <w:rPr>
          <w:rFonts w:ascii="Arial" w:cs="Arial" w:eastAsia="Arial" w:hAnsi="Arial"/>
          <w:sz w:val="20"/>
          <w:szCs w:val="20"/>
          <w:color w:val="auto"/>
        </w:rPr>
        <w:t>14,099,561,896.50</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$ 0.00</w:t>
      </w:r>
    </w:p>
    <w:p>
      <w:pPr>
        <w:spacing w:after="0" w:line="4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$ 1,947,149.50</w:t>
      </w:r>
    </w:p>
    <w:p>
      <w:pPr>
        <w:spacing w:after="0" w:line="200" w:lineRule="exact"/>
        <w:rPr>
          <w:sz w:val="20"/>
          <w:szCs w:val="20"/>
          <w:color w:val="auto"/>
        </w:rPr>
      </w:pPr>
    </w:p>
    <w:p>
      <w:pPr>
        <w:sectPr>
          <w:pgSz w:w="11900" w:h="16838" w:orient="portrait"/>
          <w:cols w:equalWidth="0" w:num="2">
            <w:col w:w="4460" w:space="580"/>
            <w:col w:w="5000"/>
          </w:cols>
          <w:pgMar w:left="920" w:top="114" w:right="939" w:bottom="0" w:gutter="0" w:footer="0" w:header="0"/>
        </w:sectPr>
      </w:pP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Offering Note</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auto"/>
        </w:rPr>
        <w:t>1</w:t>
      </w:r>
    </w:p>
    <w:p>
      <w:pPr>
        <w:spacing w:after="0" w:line="73" w:lineRule="exact"/>
        <w:rPr>
          <w:sz w:val="20"/>
          <w:szCs w:val="20"/>
          <w:color w:val="auto"/>
        </w:rPr>
      </w:pPr>
    </w:p>
    <w:p>
      <w:pPr>
        <w:ind w:left="220" w:right="100" w:hanging="5"/>
        <w:spacing w:after="0"/>
        <w:tabs>
          <w:tab w:leader="none" w:pos="519" w:val="left"/>
        </w:tabs>
        <w:numPr>
          <w:ilvl w:val="0"/>
          <w:numId w:val="6"/>
        </w:numPr>
        <w:rPr>
          <w:rFonts w:ascii="Arial" w:cs="Arial" w:eastAsia="Arial" w:hAnsi="Arial"/>
          <w:sz w:val="20"/>
          <w:szCs w:val="20"/>
          <w:color w:val="auto"/>
        </w:rPr>
      </w:pPr>
      <w:r>
        <w:rPr>
          <w:rFonts w:ascii="Arial" w:cs="Arial" w:eastAsia="Arial" w:hAnsi="Arial"/>
          <w:sz w:val="20"/>
          <w:szCs w:val="20"/>
          <w:color w:val="auto"/>
        </w:rPr>
        <w:t>Pursuant to Rule 416(a) under the Securities Act of 1933, as amended (the "Securities Act"), this registration statement ("Registration Statement") shall also cover any additional shares of Class A Common Stock or Class B Common Stock that become issuable under the 2016 Plan, the 2026 Plan, and the ESPP, by reason of any stock dividend, stock split, recapitalization, or other similar transaction effected without receipt of consideration that results in an increase to the number of outstanding shares of Class A Common Stock or Class B Common Stock, as applicable.</w:t>
      </w:r>
    </w:p>
    <w:p>
      <w:pPr>
        <w:spacing w:after="0" w:line="188" w:lineRule="exact"/>
        <w:rPr>
          <w:rFonts w:ascii="Arial" w:cs="Arial" w:eastAsia="Arial" w:hAnsi="Arial"/>
          <w:sz w:val="20"/>
          <w:szCs w:val="20"/>
          <w:color w:val="auto"/>
        </w:rPr>
      </w:pPr>
    </w:p>
    <w:p>
      <w:pPr>
        <w:ind w:left="220" w:hanging="5"/>
        <w:spacing w:after="0" w:line="237" w:lineRule="auto"/>
        <w:tabs>
          <w:tab w:leader="none" w:pos="519" w:val="left"/>
        </w:tabs>
        <w:numPr>
          <w:ilvl w:val="0"/>
          <w:numId w:val="6"/>
        </w:numPr>
        <w:rPr>
          <w:rFonts w:ascii="Arial" w:cs="Arial" w:eastAsia="Arial" w:hAnsi="Arial"/>
          <w:sz w:val="20"/>
          <w:szCs w:val="20"/>
          <w:color w:val="auto"/>
        </w:rPr>
      </w:pPr>
      <w:r>
        <w:rPr>
          <w:rFonts w:ascii="Arial" w:cs="Arial" w:eastAsia="Arial" w:hAnsi="Arial"/>
          <w:sz w:val="20"/>
          <w:szCs w:val="20"/>
          <w:color w:val="auto"/>
        </w:rPr>
        <w:t>Any shares of Class A Common Stock or Class B Common Stock that are subject to awards under the 2016 Plan that (i) expire, lapse, or are terminated, exchanged for or settled in cash, surrendered, repurchased, canceled without having been fully exercised, or forfeited, in any case, in a manner that results in the Registrant acquiring shares covered by the award at a price not greater than the price (as adjusted to reflect any equity restructuring) paid by the participant for such shares or not issuing any shares covered by the award or (ii) shares delivered (either by actual delivery or attestation) to the Registrant by a participant to satisfy the applicable exercise or purchase price of an award and/or to satisfy any applicable tax withholding obligation with respect to an award (including shares retained by the Registrant from the award being exercised or purchased and/or creating the tax obligation), will be available for issuance as Class A Common Stock under the 2026 Plan.</w:t>
      </w:r>
    </w:p>
    <w:p>
      <w:pPr>
        <w:sectPr>
          <w:pgSz w:w="11900" w:h="16838" w:orient="portrait"/>
          <w:cols w:equalWidth="0" w:num="1">
            <w:col w:w="10040"/>
          </w:cols>
          <w:pgMar w:left="920" w:top="114" w:right="939" w:bottom="0" w:gutter="0" w:footer="0" w:header="0"/>
          <w:type w:val="continuous"/>
        </w:sectPr>
      </w:pPr>
    </w:p>
    <w:bookmarkStart w:id="11" w:name="page12"/>
    <w:bookmarkEnd w:id="11"/>
    <w:p>
      <w:pPr>
        <w:ind w:left="220" w:right="40" w:hanging="5"/>
        <w:spacing w:after="0" w:line="242" w:lineRule="auto"/>
        <w:tabs>
          <w:tab w:leader="none" w:pos="507" w:val="left"/>
        </w:tabs>
        <w:numPr>
          <w:ilvl w:val="0"/>
          <w:numId w:val="7"/>
        </w:numPr>
        <w:rPr>
          <w:rFonts w:ascii="Arial" w:cs="Arial" w:eastAsia="Arial" w:hAnsi="Arial"/>
          <w:sz w:val="20"/>
          <w:szCs w:val="20"/>
          <w:color w:val="auto"/>
        </w:rPr>
      </w:pPr>
      <w:r>
        <w:rPr>
          <w:rFonts w:ascii="Arial" w:cs="Arial" w:eastAsia="Arial" w:hAnsi="Arial"/>
          <w:sz w:val="20"/>
          <w:szCs w:val="20"/>
          <w:color w:val="auto"/>
        </w:rPr>
        <w:t>Estimated solely for the purpose of calculating the registration fee in accordance with Rule 457(h) under the Securities Act. The proposed maximum offering price per share and the proposed maximum aggregate offering price are based on the initial public offering price of the Class A Common Stock of $185.00 per share, as set forth in the Registrant's Registration Statement on Form S-1 (File No. 333-295145), as amended (the "S-1 Registration Statement"), that was declared effective on May 13, 2026.</w:t>
      </w:r>
    </w:p>
    <w:p>
      <w:pPr>
        <w:spacing w:after="0" w:line="184" w:lineRule="exact"/>
        <w:rPr>
          <w:rFonts w:ascii="Arial" w:cs="Arial" w:eastAsia="Arial" w:hAnsi="Arial"/>
          <w:sz w:val="20"/>
          <w:szCs w:val="20"/>
          <w:color w:val="auto"/>
        </w:rPr>
      </w:pPr>
    </w:p>
    <w:p>
      <w:pPr>
        <w:ind w:left="220" w:right="420" w:hanging="5"/>
        <w:spacing w:after="0" w:line="269" w:lineRule="auto"/>
        <w:tabs>
          <w:tab w:leader="none" w:pos="519" w:val="left"/>
        </w:tabs>
        <w:numPr>
          <w:ilvl w:val="0"/>
          <w:numId w:val="7"/>
        </w:numPr>
        <w:rPr>
          <w:rFonts w:ascii="Arial" w:cs="Arial" w:eastAsia="Arial" w:hAnsi="Arial"/>
          <w:sz w:val="20"/>
          <w:szCs w:val="20"/>
          <w:color w:val="auto"/>
        </w:rPr>
      </w:pPr>
      <w:r>
        <w:rPr>
          <w:rFonts w:ascii="Arial" w:cs="Arial" w:eastAsia="Arial" w:hAnsi="Arial"/>
          <w:sz w:val="20"/>
          <w:szCs w:val="20"/>
          <w:color w:val="auto"/>
        </w:rPr>
        <w:t>Represents 27,044,029 shares of Class B Common Stock Stock underlying restricted stock unit awards outstanding under the 2016 Plan as of the date of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198120</wp:posOffset>
            </wp:positionV>
            <wp:extent cx="6402070" cy="41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7">
                      <a:extLst>
                        <a:ext uri="{28A0092B-C50C-407E-A947-70E740481C1C}"/>
                      </a:extLst>
                    </a:blip>
                    <a:srcRect/>
                    <a:stretch>
                      <a:fillRect/>
                    </a:stretch>
                  </pic:blipFill>
                  <pic:spPr bwMode="auto">
                    <a:xfrm>
                      <a:off x="0" y="0"/>
                      <a:ext cx="6402070" cy="4127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2"/>
          <w:szCs w:val="12"/>
          <w:color w:val="auto"/>
        </w:rPr>
        <w:t>2</w:t>
      </w:r>
    </w:p>
    <w:p>
      <w:pPr>
        <w:spacing w:after="0" w:line="73" w:lineRule="exact"/>
        <w:rPr>
          <w:sz w:val="20"/>
          <w:szCs w:val="20"/>
          <w:color w:val="auto"/>
        </w:rPr>
      </w:pPr>
    </w:p>
    <w:p>
      <w:pPr>
        <w:ind w:left="520" w:hanging="305"/>
        <w:spacing w:after="0"/>
        <w:tabs>
          <w:tab w:leader="none" w:pos="520" w:val="left"/>
        </w:tabs>
        <w:numPr>
          <w:ilvl w:val="0"/>
          <w:numId w:val="8"/>
        </w:numPr>
        <w:rPr>
          <w:rFonts w:ascii="Arial" w:cs="Arial" w:eastAsia="Arial" w:hAnsi="Arial"/>
          <w:sz w:val="20"/>
          <w:szCs w:val="20"/>
          <w:color w:val="auto"/>
        </w:rPr>
      </w:pPr>
      <w:r>
        <w:rPr>
          <w:rFonts w:ascii="Arial" w:cs="Arial" w:eastAsia="Arial" w:hAnsi="Arial"/>
          <w:sz w:val="20"/>
          <w:szCs w:val="20"/>
          <w:color w:val="auto"/>
        </w:rPr>
        <w:t>See notes 1(a) and 1(b).</w:t>
      </w:r>
    </w:p>
    <w:p>
      <w:pPr>
        <w:spacing w:after="0" w:line="217" w:lineRule="exact"/>
        <w:rPr>
          <w:rFonts w:ascii="Arial" w:cs="Arial" w:eastAsia="Arial" w:hAnsi="Arial"/>
          <w:sz w:val="20"/>
          <w:szCs w:val="20"/>
          <w:color w:val="auto"/>
        </w:rPr>
      </w:pPr>
    </w:p>
    <w:p>
      <w:pPr>
        <w:jc w:val="both"/>
        <w:ind w:left="220" w:hanging="5"/>
        <w:spacing w:after="0" w:line="251" w:lineRule="auto"/>
        <w:tabs>
          <w:tab w:leader="none" w:pos="519" w:val="left"/>
        </w:tabs>
        <w:numPr>
          <w:ilvl w:val="0"/>
          <w:numId w:val="8"/>
        </w:numPr>
        <w:rPr>
          <w:rFonts w:ascii="Arial" w:cs="Arial" w:eastAsia="Arial" w:hAnsi="Arial"/>
          <w:sz w:val="20"/>
          <w:szCs w:val="20"/>
          <w:color w:val="auto"/>
        </w:rPr>
      </w:pPr>
      <w:r>
        <w:rPr>
          <w:rFonts w:ascii="Arial" w:cs="Arial" w:eastAsia="Arial" w:hAnsi="Arial"/>
          <w:sz w:val="20"/>
          <w:szCs w:val="20"/>
          <w:color w:val="auto"/>
        </w:rPr>
        <w:t>Represents 26,838,155 shares Class B Common Stock Stock issuable upon the exercise of stock options to purchase shares of Class B Common Stock outstanding under the 2016 Plan as of the date of this Registration Statement.</w:t>
      </w:r>
    </w:p>
    <w:p>
      <w:pPr>
        <w:spacing w:after="0" w:line="174" w:lineRule="exact"/>
        <w:rPr>
          <w:rFonts w:ascii="Arial" w:cs="Arial" w:eastAsia="Arial" w:hAnsi="Arial"/>
          <w:sz w:val="20"/>
          <w:szCs w:val="20"/>
          <w:color w:val="auto"/>
        </w:rPr>
      </w:pPr>
    </w:p>
    <w:p>
      <w:pPr>
        <w:ind w:left="220" w:right="40" w:hanging="5"/>
        <w:spacing w:after="0" w:line="245" w:lineRule="auto"/>
        <w:tabs>
          <w:tab w:leader="none" w:pos="507" w:val="left"/>
        </w:tabs>
        <w:numPr>
          <w:ilvl w:val="0"/>
          <w:numId w:val="8"/>
        </w:numPr>
        <w:rPr>
          <w:rFonts w:ascii="Arial" w:cs="Arial" w:eastAsia="Arial" w:hAnsi="Arial"/>
          <w:sz w:val="20"/>
          <w:szCs w:val="20"/>
          <w:color w:val="auto"/>
        </w:rPr>
      </w:pPr>
      <w:r>
        <w:rPr>
          <w:rFonts w:ascii="Arial" w:cs="Arial" w:eastAsia="Arial" w:hAnsi="Arial"/>
          <w:sz w:val="20"/>
          <w:szCs w:val="20"/>
          <w:color w:val="auto"/>
        </w:rPr>
        <w:t>Estimated solely for purposes of calculating the registration fee in accordance with Rule 457(h) under the Securities Act. The proposed maximum offering price per share and the proposed maximum aggregate offering price are based upon $4.9374, which is the weighted-average exercise price for Class B Common Stock options outstanding under the 2016 Plan as of the date of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71120</wp:posOffset>
            </wp:positionV>
            <wp:extent cx="6402070" cy="41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8">
                      <a:extLst>
                        <a:ext uri="{28A0092B-C50C-407E-A947-70E740481C1C}"/>
                      </a:extLst>
                    </a:blip>
                    <a:srcRect/>
                    <a:stretch>
                      <a:fillRect/>
                    </a:stretch>
                  </pic:blipFill>
                  <pic:spPr bwMode="auto">
                    <a:xfrm>
                      <a:off x="0" y="0"/>
                      <a:ext cx="6402070" cy="4127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12"/>
          <w:szCs w:val="12"/>
          <w:color w:val="auto"/>
        </w:rPr>
        <w:t>3</w:t>
      </w:r>
    </w:p>
    <w:p>
      <w:pPr>
        <w:spacing w:after="0" w:line="73" w:lineRule="exact"/>
        <w:rPr>
          <w:sz w:val="20"/>
          <w:szCs w:val="20"/>
          <w:color w:val="auto"/>
        </w:rPr>
      </w:pPr>
    </w:p>
    <w:p>
      <w:pPr>
        <w:ind w:left="520" w:hanging="305"/>
        <w:spacing w:after="0"/>
        <w:tabs>
          <w:tab w:leader="none" w:pos="520" w:val="left"/>
        </w:tabs>
        <w:numPr>
          <w:ilvl w:val="0"/>
          <w:numId w:val="9"/>
        </w:numPr>
        <w:rPr>
          <w:rFonts w:ascii="Arial" w:cs="Arial" w:eastAsia="Arial" w:hAnsi="Arial"/>
          <w:sz w:val="20"/>
          <w:szCs w:val="20"/>
          <w:color w:val="auto"/>
        </w:rPr>
      </w:pPr>
      <w:r>
        <w:rPr>
          <w:rFonts w:ascii="Arial" w:cs="Arial" w:eastAsia="Arial" w:hAnsi="Arial"/>
          <w:sz w:val="20"/>
          <w:szCs w:val="20"/>
          <w:color w:val="auto"/>
        </w:rPr>
        <w:t>See notes 1(a) and 1(b)</w:t>
      </w:r>
    </w:p>
    <w:p>
      <w:pPr>
        <w:spacing w:after="0" w:line="217" w:lineRule="exact"/>
        <w:rPr>
          <w:rFonts w:ascii="Arial" w:cs="Arial" w:eastAsia="Arial" w:hAnsi="Arial"/>
          <w:sz w:val="20"/>
          <w:szCs w:val="20"/>
          <w:color w:val="auto"/>
        </w:rPr>
      </w:pPr>
    </w:p>
    <w:p>
      <w:pPr>
        <w:ind w:left="220" w:right="40" w:hanging="5"/>
        <w:spacing w:after="0" w:line="245" w:lineRule="auto"/>
        <w:tabs>
          <w:tab w:leader="none" w:pos="519" w:val="left"/>
        </w:tabs>
        <w:numPr>
          <w:ilvl w:val="0"/>
          <w:numId w:val="9"/>
        </w:numPr>
        <w:rPr>
          <w:rFonts w:ascii="Arial" w:cs="Arial" w:eastAsia="Arial" w:hAnsi="Arial"/>
          <w:sz w:val="20"/>
          <w:szCs w:val="20"/>
          <w:color w:val="auto"/>
        </w:rPr>
      </w:pPr>
      <w:r>
        <w:rPr>
          <w:rFonts w:ascii="Arial" w:cs="Arial" w:eastAsia="Arial" w:hAnsi="Arial"/>
          <w:sz w:val="20"/>
          <w:szCs w:val="20"/>
          <w:color w:val="auto"/>
        </w:rPr>
        <w:t>Pursuant to Rule 457(i) under the Securities Act, there is no fee associated with the registration of Class A Common Stock issuable upon conversion of any Class B Common Stock (a convertible security) being registered under this Registration Statement because no additional consideration will be received in connection with the conversion of Class B Common Stock.</w:t>
      </w:r>
    </w:p>
    <w:p>
      <w:pPr>
        <w:spacing w:after="0" w:line="180" w:lineRule="exact"/>
        <w:rPr>
          <w:rFonts w:ascii="Arial" w:cs="Arial" w:eastAsia="Arial" w:hAnsi="Arial"/>
          <w:sz w:val="20"/>
          <w:szCs w:val="20"/>
          <w:color w:val="auto"/>
        </w:rPr>
      </w:pPr>
    </w:p>
    <w:p>
      <w:pPr>
        <w:ind w:left="220" w:right="40" w:hanging="5"/>
        <w:spacing w:after="0" w:line="251" w:lineRule="auto"/>
        <w:tabs>
          <w:tab w:leader="none" w:pos="507" w:val="left"/>
        </w:tabs>
        <w:numPr>
          <w:ilvl w:val="0"/>
          <w:numId w:val="9"/>
        </w:numPr>
        <w:rPr>
          <w:rFonts w:ascii="Arial" w:cs="Arial" w:eastAsia="Arial" w:hAnsi="Arial"/>
          <w:sz w:val="20"/>
          <w:szCs w:val="20"/>
          <w:color w:val="auto"/>
        </w:rPr>
      </w:pPr>
      <w:r>
        <w:rPr>
          <w:rFonts w:ascii="Arial" w:cs="Arial" w:eastAsia="Arial" w:hAnsi="Arial"/>
          <w:sz w:val="20"/>
          <w:szCs w:val="20"/>
          <w:color w:val="auto"/>
        </w:rPr>
        <w:t>Represents Class A Common Stock issuable upon conversion, on a one-for-one basis, of shares of Class B Common Stock underlying restricted stock unit awards outstanding under the 2016 Plan as of the date of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67310</wp:posOffset>
            </wp:positionV>
            <wp:extent cx="6402070" cy="41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9">
                      <a:extLst>
                        <a:ext uri="{28A0092B-C50C-407E-A947-70E740481C1C}"/>
                      </a:extLst>
                    </a:blip>
                    <a:srcRect/>
                    <a:stretch>
                      <a:fillRect/>
                    </a:stretch>
                  </pic:blipFill>
                  <pic:spPr bwMode="auto">
                    <a:xfrm>
                      <a:off x="0" y="0"/>
                      <a:ext cx="6402070" cy="41275"/>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2"/>
          <w:szCs w:val="12"/>
          <w:color w:val="auto"/>
        </w:rPr>
        <w:t>4</w:t>
      </w:r>
    </w:p>
    <w:p>
      <w:pPr>
        <w:spacing w:after="0" w:line="73" w:lineRule="exact"/>
        <w:rPr>
          <w:sz w:val="20"/>
          <w:szCs w:val="20"/>
          <w:color w:val="auto"/>
        </w:rPr>
      </w:pPr>
    </w:p>
    <w:p>
      <w:pPr>
        <w:ind w:left="520" w:hanging="305"/>
        <w:spacing w:after="0"/>
        <w:tabs>
          <w:tab w:leader="none" w:pos="5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See notes 1(a), 1(b), and 3(a).</w:t>
      </w:r>
    </w:p>
    <w:p>
      <w:pPr>
        <w:spacing w:after="0" w:line="217" w:lineRule="exact"/>
        <w:rPr>
          <w:rFonts w:ascii="Arial" w:cs="Arial" w:eastAsia="Arial" w:hAnsi="Arial"/>
          <w:sz w:val="20"/>
          <w:szCs w:val="20"/>
          <w:color w:val="auto"/>
        </w:rPr>
      </w:pPr>
    </w:p>
    <w:p>
      <w:pPr>
        <w:ind w:left="220" w:right="40" w:hanging="5"/>
        <w:spacing w:after="0" w:line="251" w:lineRule="auto"/>
        <w:tabs>
          <w:tab w:leader="none" w:pos="519" w:val="left"/>
        </w:tabs>
        <w:numPr>
          <w:ilvl w:val="0"/>
          <w:numId w:val="10"/>
        </w:numPr>
        <w:rPr>
          <w:rFonts w:ascii="Arial" w:cs="Arial" w:eastAsia="Arial" w:hAnsi="Arial"/>
          <w:sz w:val="20"/>
          <w:szCs w:val="20"/>
          <w:color w:val="auto"/>
        </w:rPr>
      </w:pPr>
      <w:r>
        <w:rPr>
          <w:rFonts w:ascii="Arial" w:cs="Arial" w:eastAsia="Arial" w:hAnsi="Arial"/>
          <w:sz w:val="20"/>
          <w:szCs w:val="20"/>
          <w:color w:val="auto"/>
        </w:rPr>
        <w:t>Represents Class A Common Stock issuable upon conversion, on a one-for-one basis, of shares of Class B Common Stock issuable upon the exercise of options to purchase shares of Class B Common Stock outstanding under the 2016 Plan as of the date of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67310</wp:posOffset>
            </wp:positionV>
            <wp:extent cx="6402070" cy="41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0">
                      <a:extLst>
                        <a:ext uri="{28A0092B-C50C-407E-A947-70E740481C1C}"/>
                      </a:extLst>
                    </a:blip>
                    <a:srcRect/>
                    <a:stretch>
                      <a:fillRect/>
                    </a:stretch>
                  </pic:blipFill>
                  <pic:spPr bwMode="auto">
                    <a:xfrm>
                      <a:off x="0" y="0"/>
                      <a:ext cx="6402070" cy="41275"/>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2"/>
          <w:szCs w:val="12"/>
          <w:color w:val="auto"/>
        </w:rPr>
        <w:t>5</w:t>
      </w:r>
    </w:p>
    <w:p>
      <w:pPr>
        <w:spacing w:after="0" w:line="73" w:lineRule="exact"/>
        <w:rPr>
          <w:sz w:val="20"/>
          <w:szCs w:val="20"/>
          <w:color w:val="auto"/>
        </w:rPr>
      </w:pPr>
    </w:p>
    <w:p>
      <w:pPr>
        <w:ind w:left="520" w:hanging="305"/>
        <w:spacing w:after="0"/>
        <w:tabs>
          <w:tab w:leader="none" w:pos="5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See notes 1(a) and 1(b).</w:t>
      </w:r>
    </w:p>
    <w:p>
      <w:pPr>
        <w:spacing w:after="0" w:line="217" w:lineRule="exact"/>
        <w:rPr>
          <w:rFonts w:ascii="Arial" w:cs="Arial" w:eastAsia="Arial" w:hAnsi="Arial"/>
          <w:sz w:val="20"/>
          <w:szCs w:val="20"/>
          <w:color w:val="auto"/>
        </w:rPr>
      </w:pPr>
    </w:p>
    <w:p>
      <w:pPr>
        <w:ind w:left="220" w:right="40" w:hanging="5"/>
        <w:spacing w:after="0" w:line="236" w:lineRule="auto"/>
        <w:tabs>
          <w:tab w:leader="none" w:pos="519" w:val="left"/>
        </w:tabs>
        <w:numPr>
          <w:ilvl w:val="0"/>
          <w:numId w:val="11"/>
        </w:numPr>
        <w:rPr>
          <w:rFonts w:ascii="Arial" w:cs="Arial" w:eastAsia="Arial" w:hAnsi="Arial"/>
          <w:sz w:val="20"/>
          <w:szCs w:val="20"/>
          <w:color w:val="auto"/>
        </w:rPr>
      </w:pPr>
      <w:r>
        <w:rPr>
          <w:rFonts w:ascii="Arial" w:cs="Arial" w:eastAsia="Arial" w:hAnsi="Arial"/>
          <w:sz w:val="20"/>
          <w:szCs w:val="20"/>
          <w:color w:val="auto"/>
        </w:rPr>
        <w:t>Represents 44,899,356 shares of Class A Common Stock reserved for future issuance under the 2026 Plan as of the date of this Registration Statement, consisting of 42,650,268 shares of Class A Common Stock reserved for future issuance under the 2026 Plan as of the effectiveness of the 2026 Plan, plus 2,249,088 shares of Class A Common Stock that were withheld to satisfy estimated tax withholding and remittance obligations in connection with the vesting and settlement of restricted stock units and are now available for issuance under the 2026 Plan, as described in footnote 1(b). The number of shares of reserved for issuance under the 2026 Plan will automatically increase on January 1st of each year, starting on January 1, 2027 and continuing annually on the anniversary thereof through (and including) January 1, 2036, equal to the lesser of</w:t>
      </w:r>
    </w:p>
    <w:p>
      <w:pPr>
        <w:spacing w:after="0" w:line="2" w:lineRule="exact"/>
        <w:rPr>
          <w:rFonts w:ascii="Arial" w:cs="Arial" w:eastAsia="Arial" w:hAnsi="Arial"/>
          <w:sz w:val="20"/>
          <w:szCs w:val="20"/>
          <w:color w:val="auto"/>
        </w:rPr>
      </w:pPr>
    </w:p>
    <w:p>
      <w:pPr>
        <w:ind w:left="220" w:right="60"/>
        <w:spacing w:after="0" w:line="237" w:lineRule="auto"/>
        <w:rPr>
          <w:rFonts w:ascii="Arial" w:cs="Arial" w:eastAsia="Arial" w:hAnsi="Arial"/>
          <w:sz w:val="20"/>
          <w:szCs w:val="20"/>
          <w:color w:val="auto"/>
        </w:rPr>
      </w:pPr>
      <w:r>
        <w:rPr>
          <w:rFonts w:ascii="Arial" w:cs="Arial" w:eastAsia="Arial" w:hAnsi="Arial"/>
          <w:sz w:val="20"/>
          <w:szCs w:val="20"/>
          <w:color w:val="auto"/>
        </w:rPr>
        <w:t>(A) five percent (5%) of the sum of (1) all shares of all classes of the Registrant's common stock, and (2) the number of shares issuable upon the exercise of warrants to purchase shares of the Registrant's common stock with an exercise price per share of $0.01 or less, in each case, outstanding on the last day of the immediately preceding fiscal year and (B) such smaller number of shares as determined by the Registrant's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76200</wp:posOffset>
            </wp:positionV>
            <wp:extent cx="6402070" cy="412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1">
                      <a:extLst>
                        <a:ext uri="{28A0092B-C50C-407E-A947-70E740481C1C}"/>
                      </a:extLst>
                    </a:blip>
                    <a:srcRect/>
                    <a:stretch>
                      <a:fillRect/>
                    </a:stretch>
                  </pic:blipFill>
                  <pic:spPr bwMode="auto">
                    <a:xfrm>
                      <a:off x="0" y="0"/>
                      <a:ext cx="6402070" cy="41275"/>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Arial" w:cs="Arial" w:eastAsia="Arial" w:hAnsi="Arial"/>
          <w:sz w:val="12"/>
          <w:szCs w:val="12"/>
          <w:color w:val="auto"/>
        </w:rPr>
        <w:t>6</w:t>
      </w:r>
    </w:p>
    <w:p>
      <w:pPr>
        <w:spacing w:after="0" w:line="73" w:lineRule="exact"/>
        <w:rPr>
          <w:sz w:val="20"/>
          <w:szCs w:val="20"/>
          <w:color w:val="auto"/>
        </w:rPr>
      </w:pPr>
    </w:p>
    <w:p>
      <w:pPr>
        <w:ind w:left="520" w:hanging="305"/>
        <w:spacing w:after="0"/>
        <w:tabs>
          <w:tab w:leader="none" w:pos="5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See note 1(a).</w:t>
      </w:r>
    </w:p>
    <w:p>
      <w:pPr>
        <w:spacing w:after="0" w:line="217" w:lineRule="exact"/>
        <w:rPr>
          <w:rFonts w:ascii="Arial" w:cs="Arial" w:eastAsia="Arial" w:hAnsi="Arial"/>
          <w:sz w:val="20"/>
          <w:szCs w:val="20"/>
          <w:color w:val="auto"/>
        </w:rPr>
      </w:pPr>
    </w:p>
    <w:p>
      <w:pPr>
        <w:ind w:left="220" w:right="80" w:hanging="5"/>
        <w:spacing w:after="0" w:line="253" w:lineRule="auto"/>
        <w:tabs>
          <w:tab w:leader="none" w:pos="519" w:val="left"/>
        </w:tabs>
        <w:numPr>
          <w:ilvl w:val="0"/>
          <w:numId w:val="12"/>
        </w:numPr>
        <w:rPr>
          <w:rFonts w:ascii="Arial" w:cs="Arial" w:eastAsia="Arial" w:hAnsi="Arial"/>
          <w:sz w:val="19"/>
          <w:szCs w:val="19"/>
          <w:color w:val="auto"/>
        </w:rPr>
      </w:pPr>
      <w:r>
        <w:rPr>
          <w:rFonts w:ascii="Arial" w:cs="Arial" w:eastAsia="Arial" w:hAnsi="Arial"/>
          <w:sz w:val="19"/>
          <w:szCs w:val="19"/>
          <w:color w:val="auto"/>
        </w:rPr>
        <w:t>Represents 3,554,189 shares of Class A Common Stock reserved for future issuance under the ESPP. The number of shares of reserved for issuance under the ESPP will automatically increase on January 1st of each year, starting on January 1, 2027 and continuing annually on the anniversary thereof through (and including)</w:t>
      </w:r>
    </w:p>
    <w:p>
      <w:pPr>
        <w:ind w:left="220" w:right="120"/>
        <w:spacing w:after="0" w:line="237" w:lineRule="auto"/>
        <w:rPr>
          <w:rFonts w:ascii="Arial" w:cs="Arial" w:eastAsia="Arial" w:hAnsi="Arial"/>
          <w:sz w:val="19"/>
          <w:szCs w:val="19"/>
          <w:color w:val="auto"/>
        </w:rPr>
      </w:pPr>
      <w:r>
        <w:rPr>
          <w:rFonts w:ascii="Arial" w:cs="Arial" w:eastAsia="Arial" w:hAnsi="Arial"/>
          <w:sz w:val="20"/>
          <w:szCs w:val="20"/>
          <w:color w:val="auto"/>
        </w:rPr>
        <w:t>January 1, 2036, equal to the lesser of (A) one percent (1%) of of the sum of (1) all shares of all classes of the Registrant's common stock, and (2) the number of shares issuable upon the exercise of warrants to purchase shares of the Registrant's common stock with an exercise price per share of $0.01 or less, in each case, outstanding on the last day of the immediately preceding fiscal year and (B) such smaller number of shares as determined by the Registrant's board of directors.</w:t>
      </w:r>
    </w:p>
    <w:p>
      <w:pPr>
        <w:sectPr>
          <w:pgSz w:w="11900" w:h="16838" w:orient="portrait"/>
          <w:cols w:equalWidth="0" w:num="1">
            <w:col w:w="10020"/>
          </w:cols>
          <w:pgMar w:left="920" w:top="338" w:right="959" w:bottom="0" w:gutter="0" w:footer="0" w:header="0"/>
        </w:sectPr>
      </w:pPr>
    </w:p>
    <w:bookmarkStart w:id="12" w:name="page13"/>
    <w:bookmarkEnd w:id="12"/>
    <w:p>
      <w:pPr>
        <w:ind w:left="780" w:right="640" w:hanging="5"/>
        <w:spacing w:after="0" w:line="242" w:lineRule="auto"/>
        <w:tabs>
          <w:tab w:leader="none" w:pos="1067" w:val="left"/>
        </w:tabs>
        <w:numPr>
          <w:ilvl w:val="0"/>
          <w:numId w:val="13"/>
        </w:numPr>
        <w:rPr>
          <w:rFonts w:ascii="Arial" w:cs="Arial" w:eastAsia="Arial" w:hAnsi="Arial"/>
          <w:sz w:val="20"/>
          <w:szCs w:val="20"/>
          <w:color w:val="auto"/>
        </w:rPr>
      </w:pPr>
      <w:r>
        <w:rPr>
          <w:rFonts w:ascii="Arial" w:cs="Arial" w:eastAsia="Arial" w:hAnsi="Arial"/>
          <w:sz w:val="20"/>
          <w:szCs w:val="20"/>
          <w:color w:val="auto"/>
        </w:rPr>
        <w:t>Estimated solely for the purpose of calculating the registration fee in accordance with Rule 457(h) under the Securities Act. The proposed maximum offering price per share and the proposed maximum aggregate offering price are based on the initial public offering price of the Class A Common Stock of $185.00 per share, as set forth in the S-1 Registration Statement, multiplied by 85%, which reflects the discount to the purchase price applicable to purchases under the ESPP.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500380</wp:posOffset>
            </wp:positionV>
            <wp:extent cx="6402070" cy="41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2">
                      <a:extLst>
                        <a:ext uri="{28A0092B-C50C-407E-A947-70E740481C1C}"/>
                      </a:extLst>
                    </a:blip>
                    <a:srcRect/>
                    <a:stretch>
                      <a:fillRect/>
                    </a:stretch>
                  </pic:blipFill>
                  <pic:spPr bwMode="auto">
                    <a:xfrm>
                      <a:off x="0" y="0"/>
                      <a:ext cx="6402070" cy="4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line="230" w:lineRule="exact"/>
        <w:tabs>
          <w:tab w:leader="none" w:pos="9580" w:val="left"/>
        </w:tabs>
        <w:rPr>
          <w:sz w:val="20"/>
          <w:szCs w:val="20"/>
          <w:color w:val="auto"/>
        </w:rPr>
      </w:pPr>
      <w:r>
        <w:rPr>
          <w:rFonts w:ascii="Arial" w:cs="Arial" w:eastAsia="Arial" w:hAnsi="Arial"/>
          <w:sz w:val="20"/>
          <w:szCs w:val="20"/>
          <w:b w:val="1"/>
          <w:bCs w:val="1"/>
          <w:color w:val="auto"/>
        </w:rPr>
        <w:t>Table 2: Fee Offset Claims and Sources</w:t>
      </w:r>
      <w:r>
        <w:rPr>
          <w:sz w:val="20"/>
          <w:szCs w:val="20"/>
          <w:color w:val="auto"/>
        </w:rPr>
        <w:tab/>
      </w:r>
      <w:r>
        <w:rPr>
          <w:rFonts w:ascii="MS PGothic" w:cs="MS PGothic" w:eastAsia="MS PGothic" w:hAnsi="MS PGothic"/>
          <w:sz w:val="19"/>
          <w:szCs w:val="19"/>
          <w:color w:val="auto"/>
          <w:highlight w:val="black"/>
        </w:rPr>
        <w:t>☑</w:t>
      </w:r>
      <w:r>
        <w:rPr>
          <w:rFonts w:ascii="Arial" w:cs="Arial" w:eastAsia="Arial" w:hAnsi="Arial"/>
          <w:sz w:val="19"/>
          <w:szCs w:val="19"/>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62230</wp:posOffset>
            </wp:positionV>
            <wp:extent cx="7147560" cy="2296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3">
                      <a:extLst>
                        <a:ext uri="{28A0092B-C50C-407E-A947-70E740481C1C}"/>
                      </a:extLst>
                    </a:blip>
                    <a:srcRect/>
                    <a:stretch>
                      <a:fillRect/>
                    </a:stretch>
                  </pic:blipFill>
                  <pic:spPr bwMode="auto">
                    <a:xfrm>
                      <a:off x="0" y="0"/>
                      <a:ext cx="7147560" cy="2296160"/>
                    </a:xfrm>
                    <a:prstGeom prst="rect">
                      <a:avLst/>
                    </a:prstGeom>
                    <a:noFill/>
                  </pic:spPr>
                </pic:pic>
              </a:graphicData>
            </a:graphic>
          </wp:anchor>
        </w:drawing>
      </w:r>
    </w:p>
    <w:p>
      <w:pPr>
        <w:sectPr>
          <w:pgSz w:w="11900" w:h="16838" w:orient="portrait"/>
          <w:cols w:equalWidth="0" w:num="1">
            <w:col w:w="11180"/>
          </w:cols>
          <w:pgMar w:left="360" w:top="11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left="1300"/>
        <w:spacing w:after="0"/>
        <w:rPr>
          <w:sz w:val="20"/>
          <w:szCs w:val="20"/>
          <w:color w:val="auto"/>
        </w:rPr>
      </w:pPr>
      <w:r>
        <w:rPr>
          <w:rFonts w:ascii="Arial" w:cs="Arial" w:eastAsia="Arial" w:hAnsi="Arial"/>
          <w:sz w:val="20"/>
          <w:szCs w:val="20"/>
          <w:b w:val="1"/>
          <w:bCs w:val="1"/>
          <w:color w:val="auto"/>
        </w:rPr>
        <w:t>Registrant</w:t>
      </w:r>
    </w:p>
    <w:p>
      <w:pPr>
        <w:spacing w:after="0" w:line="8" w:lineRule="exact"/>
        <w:rPr>
          <w:sz w:val="20"/>
          <w:szCs w:val="20"/>
          <w:color w:val="auto"/>
        </w:rPr>
      </w:pPr>
    </w:p>
    <w:p>
      <w:pPr>
        <w:jc w:val="center"/>
        <w:ind w:left="1300"/>
        <w:spacing w:after="0"/>
        <w:rPr>
          <w:sz w:val="20"/>
          <w:szCs w:val="20"/>
          <w:color w:val="auto"/>
        </w:rPr>
      </w:pPr>
      <w:r>
        <w:rPr>
          <w:rFonts w:ascii="Arial" w:cs="Arial" w:eastAsia="Arial" w:hAnsi="Arial"/>
          <w:sz w:val="20"/>
          <w:szCs w:val="20"/>
          <w:b w:val="1"/>
          <w:bCs w:val="1"/>
          <w:color w:val="auto"/>
        </w:rPr>
        <w:t>or Filer</w:t>
      </w:r>
    </w:p>
    <w:p>
      <w:pPr>
        <w:jc w:val="center"/>
        <w:ind w:left="1300"/>
        <w:spacing w:after="0"/>
        <w:rPr>
          <w:sz w:val="20"/>
          <w:szCs w:val="20"/>
          <w:color w:val="auto"/>
        </w:rPr>
      </w:pPr>
      <w:r>
        <w:rPr>
          <w:rFonts w:ascii="Arial" w:cs="Arial" w:eastAsia="Arial" w:hAnsi="Arial"/>
          <w:sz w:val="20"/>
          <w:szCs w:val="20"/>
          <w:b w:val="1"/>
          <w:bCs w:val="1"/>
          <w:color w:val="auto"/>
        </w:rPr>
        <w:t>Name</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658"/>
        </w:trPr>
        <w:tc>
          <w:tcPr>
            <w:tcW w:w="600" w:type="dxa"/>
            <w:vAlign w:val="bottom"/>
            <w:shd w:val="clear" w:color="auto" w:fill="9ADAF6"/>
          </w:tcPr>
          <w:p>
            <w:pPr>
              <w:jc w:val="center"/>
              <w:spacing w:after="0"/>
              <w:rPr>
                <w:sz w:val="20"/>
                <w:szCs w:val="20"/>
                <w:color w:val="auto"/>
              </w:rPr>
            </w:pPr>
            <w:r>
              <w:rPr>
                <w:rFonts w:ascii="Arial" w:cs="Arial" w:eastAsia="Arial" w:hAnsi="Arial"/>
                <w:sz w:val="20"/>
                <w:szCs w:val="20"/>
                <w:b w:val="1"/>
                <w:bCs w:val="1"/>
                <w:color w:val="auto"/>
                <w:w w:val="99"/>
              </w:rPr>
              <w:t>Form</w:t>
            </w:r>
          </w:p>
        </w:tc>
        <w:tc>
          <w:tcPr>
            <w:tcW w:w="40" w:type="dxa"/>
            <w:vAlign w:val="bottom"/>
          </w:tcPr>
          <w:p>
            <w:pPr>
              <w:spacing w:after="0"/>
              <w:rPr>
                <w:sz w:val="24"/>
                <w:szCs w:val="24"/>
                <w:color w:val="auto"/>
              </w:rPr>
            </w:pPr>
          </w:p>
        </w:tc>
        <w:tc>
          <w:tcPr>
            <w:tcW w:w="7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0"/>
                <w:szCs w:val="20"/>
                <w:b w:val="1"/>
                <w:bCs w:val="1"/>
                <w:color w:val="auto"/>
                <w:w w:val="99"/>
              </w:rPr>
              <w:t>Initial</w:t>
            </w: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600" w:type="dxa"/>
            <w:vAlign w:val="bottom"/>
            <w:shd w:val="clear" w:color="auto" w:fill="9ADAF6"/>
          </w:tcPr>
          <w:p>
            <w:pPr>
              <w:jc w:val="center"/>
              <w:spacing w:after="0" w:line="200" w:lineRule="exact"/>
              <w:rPr>
                <w:sz w:val="20"/>
                <w:szCs w:val="20"/>
                <w:color w:val="auto"/>
              </w:rPr>
            </w:pPr>
            <w:r>
              <w:rPr>
                <w:rFonts w:ascii="Arial" w:cs="Arial" w:eastAsia="Arial" w:hAnsi="Arial"/>
                <w:sz w:val="20"/>
                <w:szCs w:val="20"/>
                <w:b w:val="1"/>
                <w:bCs w:val="1"/>
                <w:color w:val="auto"/>
                <w:w w:val="99"/>
              </w:rPr>
              <w:t>or</w:t>
            </w:r>
          </w:p>
        </w:tc>
        <w:tc>
          <w:tcPr>
            <w:tcW w:w="40" w:type="dxa"/>
            <w:vAlign w:val="bottom"/>
          </w:tcPr>
          <w:p>
            <w:pPr>
              <w:spacing w:after="0"/>
              <w:rPr>
                <w:sz w:val="17"/>
                <w:szCs w:val="17"/>
                <w:color w:val="auto"/>
              </w:rPr>
            </w:pPr>
          </w:p>
        </w:tc>
        <w:tc>
          <w:tcPr>
            <w:tcW w:w="780" w:type="dxa"/>
            <w:vAlign w:val="bottom"/>
            <w:shd w:val="clear" w:color="auto" w:fill="9ADAF6"/>
          </w:tcPr>
          <w:p>
            <w:pPr>
              <w:jc w:val="center"/>
              <w:spacing w:after="0" w:line="200" w:lineRule="exact"/>
              <w:rPr>
                <w:sz w:val="20"/>
                <w:szCs w:val="20"/>
                <w:color w:val="auto"/>
              </w:rPr>
            </w:pPr>
            <w:r>
              <w:rPr>
                <w:rFonts w:ascii="Arial" w:cs="Arial" w:eastAsia="Arial" w:hAnsi="Arial"/>
                <w:sz w:val="20"/>
                <w:szCs w:val="20"/>
                <w:b w:val="1"/>
                <w:bCs w:val="1"/>
                <w:color w:val="auto"/>
                <w:w w:val="98"/>
              </w:rPr>
              <w:t>File</w:t>
            </w:r>
          </w:p>
        </w:tc>
        <w:tc>
          <w:tcPr>
            <w:tcW w:w="20" w:type="dxa"/>
            <w:vAlign w:val="bottom"/>
          </w:tcPr>
          <w:p>
            <w:pPr>
              <w:spacing w:after="0"/>
              <w:rPr>
                <w:sz w:val="17"/>
                <w:szCs w:val="17"/>
                <w:color w:val="auto"/>
              </w:rPr>
            </w:pPr>
          </w:p>
        </w:tc>
        <w:tc>
          <w:tcPr>
            <w:tcW w:w="600" w:type="dxa"/>
            <w:vAlign w:val="bottom"/>
            <w:vMerge w:val="continue"/>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shd w:val="clear" w:color="auto" w:fill="9ADAF6"/>
          </w:tcPr>
          <w:p>
            <w:pPr>
              <w:jc w:val="center"/>
              <w:spacing w:after="0" w:line="200" w:lineRule="exact"/>
              <w:rPr>
                <w:sz w:val="20"/>
                <w:szCs w:val="20"/>
                <w:color w:val="auto"/>
              </w:rPr>
            </w:pPr>
            <w:r>
              <w:rPr>
                <w:rFonts w:ascii="Arial" w:cs="Arial" w:eastAsia="Arial" w:hAnsi="Arial"/>
                <w:sz w:val="20"/>
                <w:szCs w:val="20"/>
                <w:b w:val="1"/>
                <w:bCs w:val="1"/>
                <w:color w:val="auto"/>
                <w:w w:val="97"/>
              </w:rPr>
              <w:t>Filing</w:t>
            </w:r>
          </w:p>
        </w:tc>
        <w:tc>
          <w:tcPr>
            <w:tcW w:w="0" w:type="dxa"/>
            <w:vAlign w:val="bottom"/>
          </w:tcPr>
          <w:p>
            <w:pPr>
              <w:spacing w:after="0"/>
              <w:rPr>
                <w:sz w:val="1"/>
                <w:szCs w:val="1"/>
                <w:color w:val="auto"/>
              </w:rPr>
            </w:pPr>
          </w:p>
        </w:tc>
      </w:tr>
      <w:tr>
        <w:trPr>
          <w:trHeight w:val="224"/>
        </w:trPr>
        <w:tc>
          <w:tcPr>
            <w:tcW w:w="600" w:type="dxa"/>
            <w:vAlign w:val="bottom"/>
            <w:shd w:val="clear" w:color="auto" w:fill="9ADAF6"/>
          </w:tcPr>
          <w:p>
            <w:pPr>
              <w:jc w:val="center"/>
              <w:spacing w:after="0" w:line="224" w:lineRule="exact"/>
              <w:rPr>
                <w:sz w:val="20"/>
                <w:szCs w:val="20"/>
                <w:color w:val="auto"/>
              </w:rPr>
            </w:pPr>
            <w:r>
              <w:rPr>
                <w:rFonts w:ascii="Arial" w:cs="Arial" w:eastAsia="Arial" w:hAnsi="Arial"/>
                <w:sz w:val="20"/>
                <w:szCs w:val="20"/>
                <w:b w:val="1"/>
                <w:bCs w:val="1"/>
                <w:color w:val="auto"/>
              </w:rPr>
              <w:t>Filing</w:t>
            </w:r>
          </w:p>
        </w:tc>
        <w:tc>
          <w:tcPr>
            <w:tcW w:w="40" w:type="dxa"/>
            <w:vAlign w:val="bottom"/>
          </w:tcPr>
          <w:p>
            <w:pPr>
              <w:spacing w:after="0"/>
              <w:rPr>
                <w:sz w:val="19"/>
                <w:szCs w:val="19"/>
                <w:color w:val="auto"/>
              </w:rPr>
            </w:pPr>
          </w:p>
        </w:tc>
        <w:tc>
          <w:tcPr>
            <w:tcW w:w="780" w:type="dxa"/>
            <w:vAlign w:val="bottom"/>
            <w:shd w:val="clear" w:color="auto" w:fill="9ADAF6"/>
          </w:tcPr>
          <w:p>
            <w:pPr>
              <w:jc w:val="center"/>
              <w:spacing w:after="0" w:line="224" w:lineRule="exact"/>
              <w:rPr>
                <w:sz w:val="20"/>
                <w:szCs w:val="20"/>
                <w:color w:val="auto"/>
              </w:rPr>
            </w:pPr>
            <w:r>
              <w:rPr>
                <w:rFonts w:ascii="Arial" w:cs="Arial" w:eastAsia="Arial" w:hAnsi="Arial"/>
                <w:sz w:val="20"/>
                <w:szCs w:val="20"/>
                <w:b w:val="1"/>
                <w:bCs w:val="1"/>
                <w:color w:val="auto"/>
              </w:rPr>
              <w:t>Number</w:t>
            </w:r>
          </w:p>
        </w:tc>
        <w:tc>
          <w:tcPr>
            <w:tcW w:w="20" w:type="dxa"/>
            <w:vAlign w:val="bottom"/>
          </w:tcPr>
          <w:p>
            <w:pPr>
              <w:spacing w:after="0"/>
              <w:rPr>
                <w:sz w:val="19"/>
                <w:szCs w:val="19"/>
                <w:color w:val="auto"/>
              </w:rPr>
            </w:pPr>
          </w:p>
        </w:tc>
        <w:tc>
          <w:tcPr>
            <w:tcW w:w="600" w:type="dxa"/>
            <w:vAlign w:val="bottom"/>
            <w:shd w:val="clear" w:color="auto" w:fill="9ADAF6"/>
          </w:tcPr>
          <w:p>
            <w:pPr>
              <w:jc w:val="center"/>
              <w:spacing w:after="0" w:line="224" w:lineRule="exact"/>
              <w:rPr>
                <w:sz w:val="20"/>
                <w:szCs w:val="20"/>
                <w:color w:val="auto"/>
              </w:rPr>
            </w:pPr>
            <w:r>
              <w:rPr>
                <w:rFonts w:ascii="Arial" w:cs="Arial" w:eastAsia="Arial" w:hAnsi="Arial"/>
                <w:sz w:val="20"/>
                <w:szCs w:val="20"/>
                <w:b w:val="1"/>
                <w:bCs w:val="1"/>
                <w:color w:val="auto"/>
                <w:w w:val="97"/>
              </w:rPr>
              <w:t>Filing</w:t>
            </w:r>
          </w:p>
        </w:tc>
        <w:tc>
          <w:tcPr>
            <w:tcW w:w="20" w:type="dxa"/>
            <w:vAlign w:val="bottom"/>
          </w:tcPr>
          <w:p>
            <w:pPr>
              <w:spacing w:after="0"/>
              <w:rPr>
                <w:sz w:val="19"/>
                <w:szCs w:val="19"/>
                <w:color w:val="auto"/>
              </w:rPr>
            </w:pPr>
          </w:p>
        </w:tc>
        <w:tc>
          <w:tcPr>
            <w:tcW w:w="600" w:type="dxa"/>
            <w:vAlign w:val="bottom"/>
            <w:shd w:val="clear" w:color="auto" w:fill="9ADAF6"/>
          </w:tcPr>
          <w:p>
            <w:pPr>
              <w:jc w:val="center"/>
              <w:spacing w:after="0" w:line="224" w:lineRule="exact"/>
              <w:rPr>
                <w:sz w:val="20"/>
                <w:szCs w:val="20"/>
                <w:color w:val="auto"/>
              </w:rPr>
            </w:pPr>
            <w:r>
              <w:rPr>
                <w:rFonts w:ascii="Arial" w:cs="Arial" w:eastAsia="Arial" w:hAnsi="Arial"/>
                <w:sz w:val="20"/>
                <w:szCs w:val="20"/>
                <w:b w:val="1"/>
                <w:bCs w:val="1"/>
                <w:color w:val="auto"/>
              </w:rPr>
              <w:t>Date</w:t>
            </w:r>
          </w:p>
        </w:tc>
        <w:tc>
          <w:tcPr>
            <w:tcW w:w="0" w:type="dxa"/>
            <w:vAlign w:val="bottom"/>
          </w:tcPr>
          <w:p>
            <w:pPr>
              <w:spacing w:after="0"/>
              <w:rPr>
                <w:sz w:val="1"/>
                <w:szCs w:val="1"/>
                <w:color w:val="auto"/>
              </w:rPr>
            </w:pPr>
          </w:p>
        </w:tc>
      </w:tr>
      <w:tr>
        <w:trPr>
          <w:trHeight w:val="224"/>
        </w:trPr>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0"/>
                <w:szCs w:val="20"/>
                <w:b w:val="1"/>
                <w:bCs w:val="1"/>
                <w:color w:val="auto"/>
                <w:w w:val="98"/>
              </w:rPr>
              <w:t>Type</w:t>
            </w:r>
          </w:p>
        </w:tc>
        <w:tc>
          <w:tcPr>
            <w:tcW w:w="40" w:type="dxa"/>
            <w:vAlign w:val="bottom"/>
          </w:tcPr>
          <w:p>
            <w:pPr>
              <w:spacing w:after="0"/>
              <w:rPr>
                <w:sz w:val="19"/>
                <w:szCs w:val="19"/>
                <w:color w:val="auto"/>
              </w:rPr>
            </w:pPr>
          </w:p>
        </w:tc>
        <w:tc>
          <w:tcPr>
            <w:tcW w:w="7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9ADAF6"/>
          </w:tcPr>
          <w:p>
            <w:pPr>
              <w:jc w:val="center"/>
              <w:spacing w:after="0" w:line="224" w:lineRule="exact"/>
              <w:rPr>
                <w:sz w:val="20"/>
                <w:szCs w:val="20"/>
                <w:color w:val="auto"/>
              </w:rPr>
            </w:pPr>
            <w:r>
              <w:rPr>
                <w:rFonts w:ascii="Arial" w:cs="Arial" w:eastAsia="Arial" w:hAnsi="Arial"/>
                <w:sz w:val="20"/>
                <w:szCs w:val="20"/>
                <w:b w:val="1"/>
                <w:bCs w:val="1"/>
                <w:color w:val="auto"/>
              </w:rPr>
              <w:t>Date</w:t>
            </w:r>
          </w:p>
        </w:tc>
        <w:tc>
          <w:tcPr>
            <w:tcW w:w="20" w:type="dxa"/>
            <w:vAlign w:val="bottom"/>
          </w:tcPr>
          <w:p>
            <w:pPr>
              <w:spacing w:after="0"/>
              <w:rPr>
                <w:sz w:val="19"/>
                <w:szCs w:val="19"/>
                <w:color w:val="auto"/>
              </w:rPr>
            </w:pPr>
          </w:p>
        </w:tc>
        <w:tc>
          <w:tcPr>
            <w:tcW w:w="600" w:type="dxa"/>
            <w:vAlign w:val="bottom"/>
            <w:shd w:val="clear" w:color="auto" w:fill="9ADAF6"/>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600" w:type="dxa"/>
            <w:vAlign w:val="bottom"/>
            <w:vMerge w:val="continue"/>
            <w:shd w:val="clear" w:color="auto" w:fill="9ADAF6"/>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shd w:val="clear" w:color="auto" w:fill="9ADAF6"/>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shd w:val="clear" w:color="auto" w:fill="9ADAF6"/>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shd w:val="clear" w:color="auto" w:fill="9ADAF6"/>
          </w:tcPr>
          <w:p>
            <w:pPr>
              <w:spacing w:after="0"/>
              <w:rPr>
                <w:sz w:val="6"/>
                <w:szCs w:val="6"/>
                <w:color w:val="auto"/>
              </w:rPr>
            </w:pPr>
          </w:p>
        </w:tc>
        <w:tc>
          <w:tcPr>
            <w:tcW w:w="0" w:type="dxa"/>
            <w:vAlign w:val="bottom"/>
          </w:tcPr>
          <w:p>
            <w:pPr>
              <w:spacing w:after="0"/>
              <w:rPr>
                <w:sz w:val="1"/>
                <w:szCs w:val="1"/>
                <w:color w:val="auto"/>
              </w:rPr>
            </w:pPr>
          </w:p>
        </w:tc>
      </w:tr>
      <w:tr>
        <w:trPr>
          <w:trHeight w:val="436"/>
        </w:trPr>
        <w:tc>
          <w:tcPr>
            <w:tcW w:w="6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shd w:val="clear" w:color="auto" w:fill="9ADAF6"/>
          </w:tcPr>
          <w:p>
            <w:pPr>
              <w:jc w:val="center"/>
              <w:spacing w:after="0"/>
              <w:rPr>
                <w:sz w:val="20"/>
                <w:szCs w:val="20"/>
                <w:color w:val="auto"/>
              </w:rPr>
            </w:pPr>
            <w:r>
              <w:rPr>
                <w:rFonts w:ascii="Arial" w:cs="Arial" w:eastAsia="Arial" w:hAnsi="Arial"/>
                <w:sz w:val="20"/>
                <w:szCs w:val="20"/>
                <w:b w:val="1"/>
                <w:bCs w:val="1"/>
                <w:color w:val="auto"/>
              </w:rPr>
              <w:t>Unsold</w:t>
            </w: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shd w:val="clear" w:color="auto" w:fill="9ADAF6"/>
          </w:tcPr>
          <w:p>
            <w:pPr>
              <w:jc w:val="center"/>
              <w:spacing w:after="0" w:line="224" w:lineRule="exact"/>
              <w:rPr>
                <w:sz w:val="20"/>
                <w:szCs w:val="20"/>
                <w:color w:val="auto"/>
              </w:rPr>
            </w:pPr>
            <w:r>
              <w:rPr>
                <w:rFonts w:ascii="Arial" w:cs="Arial" w:eastAsia="Arial" w:hAnsi="Arial"/>
                <w:sz w:val="20"/>
                <w:szCs w:val="20"/>
                <w:b w:val="1"/>
                <w:bCs w:val="1"/>
                <w:color w:val="auto"/>
                <w:w w:val="98"/>
              </w:rPr>
              <w:t>Security</w:t>
            </w:r>
          </w:p>
        </w:tc>
        <w:tc>
          <w:tcPr>
            <w:tcW w:w="20" w:type="dxa"/>
            <w:vAlign w:val="bottom"/>
          </w:tcPr>
          <w:p>
            <w:pPr>
              <w:spacing w:after="0"/>
              <w:rPr>
                <w:sz w:val="19"/>
                <w:szCs w:val="19"/>
                <w:color w:val="auto"/>
              </w:rPr>
            </w:pPr>
          </w:p>
        </w:tc>
        <w:tc>
          <w:tcPr>
            <w:tcW w:w="1100" w:type="dxa"/>
            <w:vAlign w:val="bottom"/>
            <w:shd w:val="clear" w:color="auto" w:fill="9ADAF6"/>
          </w:tcPr>
          <w:p>
            <w:pPr>
              <w:jc w:val="center"/>
              <w:spacing w:after="0" w:line="224" w:lineRule="exact"/>
              <w:rPr>
                <w:sz w:val="20"/>
                <w:szCs w:val="20"/>
                <w:color w:val="auto"/>
              </w:rPr>
            </w:pPr>
            <w:r>
              <w:rPr>
                <w:rFonts w:ascii="Arial" w:cs="Arial" w:eastAsia="Arial" w:hAnsi="Arial"/>
                <w:sz w:val="20"/>
                <w:szCs w:val="20"/>
                <w:b w:val="1"/>
                <w:bCs w:val="1"/>
                <w:color w:val="auto"/>
                <w:w w:val="98"/>
              </w:rPr>
              <w:t>Security</w:t>
            </w:r>
          </w:p>
        </w:tc>
        <w:tc>
          <w:tcPr>
            <w:tcW w:w="20" w:type="dxa"/>
            <w:vAlign w:val="bottom"/>
          </w:tcPr>
          <w:p>
            <w:pPr>
              <w:spacing w:after="0"/>
              <w:rPr>
                <w:sz w:val="19"/>
                <w:szCs w:val="19"/>
                <w:color w:val="auto"/>
              </w:rPr>
            </w:pPr>
          </w:p>
        </w:tc>
        <w:tc>
          <w:tcPr>
            <w:tcW w:w="1100" w:type="dxa"/>
            <w:vAlign w:val="bottom"/>
            <w:shd w:val="clear" w:color="auto" w:fill="9ADAF6"/>
          </w:tcPr>
          <w:p>
            <w:pPr>
              <w:jc w:val="center"/>
              <w:spacing w:after="0" w:line="224" w:lineRule="exact"/>
              <w:rPr>
                <w:sz w:val="20"/>
                <w:szCs w:val="20"/>
                <w:color w:val="auto"/>
              </w:rPr>
            </w:pPr>
            <w:r>
              <w:rPr>
                <w:rFonts w:ascii="Arial" w:cs="Arial" w:eastAsia="Arial" w:hAnsi="Arial"/>
                <w:sz w:val="20"/>
                <w:szCs w:val="20"/>
                <w:b w:val="1"/>
                <w:bCs w:val="1"/>
                <w:color w:val="auto"/>
              </w:rPr>
              <w:t>Unsold</w:t>
            </w:r>
          </w:p>
        </w:tc>
        <w:tc>
          <w:tcPr>
            <w:tcW w:w="20" w:type="dxa"/>
            <w:vAlign w:val="bottom"/>
          </w:tcPr>
          <w:p>
            <w:pPr>
              <w:spacing w:after="0"/>
              <w:rPr>
                <w:sz w:val="19"/>
                <w:szCs w:val="19"/>
                <w:color w:val="auto"/>
              </w:rPr>
            </w:pPr>
          </w:p>
        </w:tc>
        <w:tc>
          <w:tcPr>
            <w:tcW w:w="1100" w:type="dxa"/>
            <w:vAlign w:val="bottom"/>
            <w:shd w:val="clear" w:color="auto" w:fill="9ADAF6"/>
          </w:tcPr>
          <w:p>
            <w:pPr>
              <w:jc w:val="center"/>
              <w:spacing w:after="0" w:line="224" w:lineRule="exact"/>
              <w:rPr>
                <w:sz w:val="20"/>
                <w:szCs w:val="20"/>
                <w:color w:val="auto"/>
              </w:rPr>
            </w:pPr>
            <w:r>
              <w:rPr>
                <w:rFonts w:ascii="Arial" w:cs="Arial" w:eastAsia="Arial" w:hAnsi="Arial"/>
                <w:sz w:val="20"/>
                <w:szCs w:val="20"/>
                <w:b w:val="1"/>
                <w:bCs w:val="1"/>
                <w:color w:val="auto"/>
                <w:w w:val="99"/>
              </w:rPr>
              <w:t>Aggregate</w:t>
            </w:r>
          </w:p>
        </w:tc>
        <w:tc>
          <w:tcPr>
            <w:tcW w:w="20" w:type="dxa"/>
            <w:vAlign w:val="bottom"/>
          </w:tcPr>
          <w:p>
            <w:pPr>
              <w:spacing w:after="0"/>
              <w:rPr>
                <w:sz w:val="19"/>
                <w:szCs w:val="19"/>
                <w:color w:val="auto"/>
              </w:rPr>
            </w:pPr>
          </w:p>
        </w:tc>
        <w:tc>
          <w:tcPr>
            <w:tcW w:w="700" w:type="dxa"/>
            <w:vAlign w:val="bottom"/>
            <w:shd w:val="clear" w:color="auto" w:fill="9ADAF6"/>
          </w:tcPr>
          <w:p>
            <w:pPr>
              <w:jc w:val="center"/>
              <w:spacing w:after="0" w:line="224" w:lineRule="exact"/>
              <w:rPr>
                <w:sz w:val="20"/>
                <w:szCs w:val="20"/>
                <w:color w:val="auto"/>
              </w:rPr>
            </w:pPr>
            <w:r>
              <w:rPr>
                <w:rFonts w:ascii="Arial" w:cs="Arial" w:eastAsia="Arial" w:hAnsi="Arial"/>
                <w:sz w:val="20"/>
                <w:szCs w:val="20"/>
                <w:b w:val="1"/>
                <w:bCs w:val="1"/>
                <w:color w:val="auto"/>
                <w:w w:val="98"/>
              </w:rPr>
              <w:t>Fee</w:t>
            </w:r>
          </w:p>
        </w:tc>
        <w:tc>
          <w:tcPr>
            <w:tcW w:w="0" w:type="dxa"/>
            <w:vAlign w:val="bottom"/>
          </w:tcPr>
          <w:p>
            <w:pPr>
              <w:spacing w:after="0"/>
              <w:rPr>
                <w:sz w:val="1"/>
                <w:szCs w:val="1"/>
                <w:color w:val="auto"/>
              </w:rPr>
            </w:pPr>
          </w:p>
        </w:tc>
      </w:tr>
      <w:tr>
        <w:trPr>
          <w:trHeight w:val="224"/>
        </w:trPr>
        <w:tc>
          <w:tcPr>
            <w:tcW w:w="820" w:type="dxa"/>
            <w:vAlign w:val="bottom"/>
            <w:vMerge w:val="restart"/>
            <w:shd w:val="clear" w:color="auto" w:fill="9ADAF6"/>
          </w:tcPr>
          <w:p>
            <w:pPr>
              <w:jc w:val="center"/>
              <w:spacing w:after="0"/>
              <w:rPr>
                <w:sz w:val="20"/>
                <w:szCs w:val="20"/>
                <w:color w:val="auto"/>
              </w:rPr>
            </w:pPr>
            <w:r>
              <w:rPr>
                <w:rFonts w:ascii="Arial" w:cs="Arial" w:eastAsia="Arial" w:hAnsi="Arial"/>
                <w:sz w:val="20"/>
                <w:szCs w:val="20"/>
                <w:b w:val="1"/>
                <w:bCs w:val="1"/>
                <w:color w:val="auto"/>
                <w:w w:val="98"/>
              </w:rPr>
              <w:t>Fee</w:t>
            </w:r>
          </w:p>
        </w:tc>
        <w:tc>
          <w:tcPr>
            <w:tcW w:w="20" w:type="dxa"/>
            <w:vAlign w:val="bottom"/>
          </w:tcPr>
          <w:p>
            <w:pPr>
              <w:spacing w:after="0"/>
              <w:rPr>
                <w:sz w:val="19"/>
                <w:szCs w:val="19"/>
                <w:color w:val="auto"/>
              </w:rPr>
            </w:pPr>
          </w:p>
        </w:tc>
        <w:tc>
          <w:tcPr>
            <w:tcW w:w="1100" w:type="dxa"/>
            <w:vAlign w:val="bottom"/>
            <w:shd w:val="clear" w:color="auto" w:fill="9ADAF6"/>
          </w:tcPr>
          <w:p>
            <w:pPr>
              <w:jc w:val="center"/>
              <w:spacing w:after="0" w:line="224" w:lineRule="exact"/>
              <w:rPr>
                <w:sz w:val="20"/>
                <w:szCs w:val="20"/>
                <w:color w:val="auto"/>
              </w:rPr>
            </w:pPr>
            <w:r>
              <w:rPr>
                <w:rFonts w:ascii="Arial" w:cs="Arial" w:eastAsia="Arial" w:hAnsi="Arial"/>
                <w:sz w:val="20"/>
                <w:szCs w:val="20"/>
                <w:b w:val="1"/>
                <w:bCs w:val="1"/>
                <w:color w:val="auto"/>
                <w:w w:val="94"/>
              </w:rPr>
              <w:t>Type</w:t>
            </w:r>
          </w:p>
        </w:tc>
        <w:tc>
          <w:tcPr>
            <w:tcW w:w="20" w:type="dxa"/>
            <w:vAlign w:val="bottom"/>
          </w:tcPr>
          <w:p>
            <w:pPr>
              <w:spacing w:after="0"/>
              <w:rPr>
                <w:sz w:val="19"/>
                <w:szCs w:val="19"/>
                <w:color w:val="auto"/>
              </w:rPr>
            </w:pPr>
          </w:p>
        </w:tc>
        <w:tc>
          <w:tcPr>
            <w:tcW w:w="1100" w:type="dxa"/>
            <w:vAlign w:val="bottom"/>
            <w:shd w:val="clear" w:color="auto" w:fill="9ADAF6"/>
          </w:tcPr>
          <w:p>
            <w:pPr>
              <w:jc w:val="center"/>
              <w:spacing w:after="0" w:line="224" w:lineRule="exact"/>
              <w:rPr>
                <w:sz w:val="20"/>
                <w:szCs w:val="20"/>
                <w:color w:val="auto"/>
              </w:rPr>
            </w:pPr>
            <w:r>
              <w:rPr>
                <w:rFonts w:ascii="Arial" w:cs="Arial" w:eastAsia="Arial" w:hAnsi="Arial"/>
                <w:sz w:val="20"/>
                <w:szCs w:val="20"/>
                <w:b w:val="1"/>
                <w:bCs w:val="1"/>
                <w:color w:val="auto"/>
                <w:w w:val="97"/>
              </w:rPr>
              <w:t>Title</w:t>
            </w:r>
          </w:p>
        </w:tc>
        <w:tc>
          <w:tcPr>
            <w:tcW w:w="20" w:type="dxa"/>
            <w:vAlign w:val="bottom"/>
          </w:tcPr>
          <w:p>
            <w:pPr>
              <w:spacing w:after="0"/>
              <w:rPr>
                <w:sz w:val="19"/>
                <w:szCs w:val="19"/>
                <w:color w:val="auto"/>
              </w:rPr>
            </w:pPr>
          </w:p>
        </w:tc>
        <w:tc>
          <w:tcPr>
            <w:tcW w:w="1100" w:type="dxa"/>
            <w:vAlign w:val="bottom"/>
            <w:shd w:val="clear" w:color="auto" w:fill="9ADAF6"/>
          </w:tcPr>
          <w:p>
            <w:pPr>
              <w:jc w:val="center"/>
              <w:spacing w:after="0" w:line="224" w:lineRule="exact"/>
              <w:rPr>
                <w:sz w:val="20"/>
                <w:szCs w:val="20"/>
                <w:color w:val="auto"/>
              </w:rPr>
            </w:pPr>
            <w:r>
              <w:rPr>
                <w:rFonts w:ascii="Arial" w:cs="Arial" w:eastAsia="Arial" w:hAnsi="Arial"/>
                <w:sz w:val="20"/>
                <w:szCs w:val="20"/>
                <w:b w:val="1"/>
                <w:bCs w:val="1"/>
                <w:color w:val="auto"/>
              </w:rPr>
              <w:t>Securities</w:t>
            </w:r>
          </w:p>
        </w:tc>
        <w:tc>
          <w:tcPr>
            <w:tcW w:w="20" w:type="dxa"/>
            <w:vAlign w:val="bottom"/>
          </w:tcPr>
          <w:p>
            <w:pPr>
              <w:spacing w:after="0"/>
              <w:rPr>
                <w:sz w:val="19"/>
                <w:szCs w:val="19"/>
                <w:color w:val="auto"/>
              </w:rPr>
            </w:pPr>
          </w:p>
        </w:tc>
        <w:tc>
          <w:tcPr>
            <w:tcW w:w="1100" w:type="dxa"/>
            <w:vAlign w:val="bottom"/>
            <w:shd w:val="clear" w:color="auto" w:fill="9ADAF6"/>
          </w:tcPr>
          <w:p>
            <w:pPr>
              <w:jc w:val="center"/>
              <w:spacing w:after="0" w:line="224" w:lineRule="exact"/>
              <w:rPr>
                <w:sz w:val="20"/>
                <w:szCs w:val="20"/>
                <w:color w:val="auto"/>
              </w:rPr>
            </w:pPr>
            <w:r>
              <w:rPr>
                <w:rFonts w:ascii="Arial" w:cs="Arial" w:eastAsia="Arial" w:hAnsi="Arial"/>
                <w:sz w:val="20"/>
                <w:szCs w:val="20"/>
                <w:b w:val="1"/>
                <w:bCs w:val="1"/>
                <w:color w:val="auto"/>
              </w:rPr>
              <w:t>Offering</w:t>
            </w:r>
          </w:p>
        </w:tc>
        <w:tc>
          <w:tcPr>
            <w:tcW w:w="20" w:type="dxa"/>
            <w:vAlign w:val="bottom"/>
          </w:tcPr>
          <w:p>
            <w:pPr>
              <w:spacing w:after="0"/>
              <w:rPr>
                <w:sz w:val="19"/>
                <w:szCs w:val="19"/>
                <w:color w:val="auto"/>
              </w:rPr>
            </w:pPr>
          </w:p>
        </w:tc>
        <w:tc>
          <w:tcPr>
            <w:tcW w:w="700" w:type="dxa"/>
            <w:vAlign w:val="bottom"/>
            <w:shd w:val="clear" w:color="auto" w:fill="9ADAF6"/>
          </w:tcPr>
          <w:p>
            <w:pPr>
              <w:jc w:val="center"/>
              <w:spacing w:after="0" w:line="224" w:lineRule="exact"/>
              <w:rPr>
                <w:sz w:val="20"/>
                <w:szCs w:val="20"/>
                <w:color w:val="auto"/>
              </w:rPr>
            </w:pPr>
            <w:r>
              <w:rPr>
                <w:rFonts w:ascii="Arial" w:cs="Arial" w:eastAsia="Arial" w:hAnsi="Arial"/>
                <w:sz w:val="20"/>
                <w:szCs w:val="20"/>
                <w:b w:val="1"/>
                <w:bCs w:val="1"/>
                <w:color w:val="auto"/>
                <w:w w:val="99"/>
              </w:rPr>
              <w:t>Paid</w:t>
            </w:r>
          </w:p>
        </w:tc>
        <w:tc>
          <w:tcPr>
            <w:tcW w:w="0" w:type="dxa"/>
            <w:vAlign w:val="bottom"/>
          </w:tcPr>
          <w:p>
            <w:pPr>
              <w:spacing w:after="0"/>
              <w:rPr>
                <w:sz w:val="1"/>
                <w:szCs w:val="1"/>
                <w:color w:val="auto"/>
              </w:rPr>
            </w:pPr>
          </w:p>
        </w:tc>
      </w:tr>
      <w:tr>
        <w:trPr>
          <w:trHeight w:val="112"/>
        </w:trPr>
        <w:tc>
          <w:tcPr>
            <w:tcW w:w="82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100" w:type="dxa"/>
            <w:vAlign w:val="bottom"/>
            <w:vMerge w:val="restart"/>
            <w:shd w:val="clear" w:color="auto" w:fill="9ADAF6"/>
          </w:tcPr>
          <w:p>
            <w:pPr>
              <w:jc w:val="center"/>
              <w:spacing w:after="0"/>
              <w:rPr>
                <w:sz w:val="20"/>
                <w:szCs w:val="20"/>
                <w:color w:val="auto"/>
              </w:rPr>
            </w:pPr>
            <w:r>
              <w:rPr>
                <w:rFonts w:ascii="Arial" w:cs="Arial" w:eastAsia="Arial" w:hAnsi="Arial"/>
                <w:sz w:val="20"/>
                <w:szCs w:val="20"/>
                <w:b w:val="1"/>
                <w:bCs w:val="1"/>
                <w:color w:val="auto"/>
                <w:w w:val="99"/>
              </w:rPr>
              <w:t>Associated</w:t>
            </w:r>
          </w:p>
        </w:tc>
        <w:tc>
          <w:tcPr>
            <w:tcW w:w="20" w:type="dxa"/>
            <w:vAlign w:val="bottom"/>
          </w:tcPr>
          <w:p>
            <w:pPr>
              <w:spacing w:after="0"/>
              <w:rPr>
                <w:sz w:val="9"/>
                <w:szCs w:val="9"/>
                <w:color w:val="auto"/>
              </w:rPr>
            </w:pPr>
          </w:p>
        </w:tc>
        <w:tc>
          <w:tcPr>
            <w:tcW w:w="1100" w:type="dxa"/>
            <w:vAlign w:val="bottom"/>
            <w:vMerge w:val="restart"/>
            <w:shd w:val="clear" w:color="auto" w:fill="9ADAF6"/>
          </w:tcPr>
          <w:p>
            <w:pPr>
              <w:jc w:val="center"/>
              <w:spacing w:after="0"/>
              <w:rPr>
                <w:sz w:val="20"/>
                <w:szCs w:val="20"/>
                <w:color w:val="auto"/>
              </w:rPr>
            </w:pPr>
            <w:r>
              <w:rPr>
                <w:rFonts w:ascii="Arial" w:cs="Arial" w:eastAsia="Arial" w:hAnsi="Arial"/>
                <w:sz w:val="20"/>
                <w:szCs w:val="20"/>
                <w:b w:val="1"/>
                <w:bCs w:val="1"/>
                <w:color w:val="auto"/>
                <w:w w:val="99"/>
              </w:rPr>
              <w:t>Associated</w:t>
            </w:r>
          </w:p>
        </w:tc>
        <w:tc>
          <w:tcPr>
            <w:tcW w:w="20" w:type="dxa"/>
            <w:vAlign w:val="bottom"/>
          </w:tcPr>
          <w:p>
            <w:pPr>
              <w:spacing w:after="0"/>
              <w:rPr>
                <w:sz w:val="9"/>
                <w:szCs w:val="9"/>
                <w:color w:val="auto"/>
              </w:rPr>
            </w:pPr>
          </w:p>
        </w:tc>
        <w:tc>
          <w:tcPr>
            <w:tcW w:w="1100" w:type="dxa"/>
            <w:vAlign w:val="bottom"/>
            <w:vMerge w:val="restart"/>
            <w:shd w:val="clear" w:color="auto" w:fill="9ADAF6"/>
          </w:tcPr>
          <w:p>
            <w:pPr>
              <w:jc w:val="center"/>
              <w:spacing w:after="0"/>
              <w:rPr>
                <w:sz w:val="20"/>
                <w:szCs w:val="20"/>
                <w:color w:val="auto"/>
              </w:rPr>
            </w:pPr>
            <w:r>
              <w:rPr>
                <w:rFonts w:ascii="Arial" w:cs="Arial" w:eastAsia="Arial" w:hAnsi="Arial"/>
                <w:sz w:val="20"/>
                <w:szCs w:val="20"/>
                <w:b w:val="1"/>
                <w:bCs w:val="1"/>
                <w:color w:val="auto"/>
                <w:w w:val="99"/>
              </w:rPr>
              <w:t>Associated</w:t>
            </w:r>
          </w:p>
        </w:tc>
        <w:tc>
          <w:tcPr>
            <w:tcW w:w="20" w:type="dxa"/>
            <w:vAlign w:val="bottom"/>
          </w:tcPr>
          <w:p>
            <w:pPr>
              <w:spacing w:after="0"/>
              <w:rPr>
                <w:sz w:val="9"/>
                <w:szCs w:val="9"/>
                <w:color w:val="auto"/>
              </w:rPr>
            </w:pPr>
          </w:p>
        </w:tc>
        <w:tc>
          <w:tcPr>
            <w:tcW w:w="1100" w:type="dxa"/>
            <w:vAlign w:val="bottom"/>
            <w:vMerge w:val="restart"/>
            <w:shd w:val="clear" w:color="auto" w:fill="9ADAF6"/>
          </w:tcPr>
          <w:p>
            <w:pPr>
              <w:jc w:val="center"/>
              <w:spacing w:after="0"/>
              <w:rPr>
                <w:sz w:val="20"/>
                <w:szCs w:val="20"/>
                <w:color w:val="auto"/>
              </w:rPr>
            </w:pPr>
            <w:r>
              <w:rPr>
                <w:rFonts w:ascii="Arial" w:cs="Arial" w:eastAsia="Arial" w:hAnsi="Arial"/>
                <w:sz w:val="20"/>
                <w:szCs w:val="20"/>
                <w:b w:val="1"/>
                <w:bCs w:val="1"/>
                <w:color w:val="auto"/>
              </w:rPr>
              <w:t>Amount</w:t>
            </w:r>
          </w:p>
        </w:tc>
        <w:tc>
          <w:tcPr>
            <w:tcW w:w="20" w:type="dxa"/>
            <w:vAlign w:val="bottom"/>
          </w:tcPr>
          <w:p>
            <w:pPr>
              <w:spacing w:after="0"/>
              <w:rPr>
                <w:sz w:val="9"/>
                <w:szCs w:val="9"/>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20"/>
                <w:szCs w:val="20"/>
                <w:b w:val="1"/>
                <w:bCs w:val="1"/>
                <w:color w:val="auto"/>
                <w:w w:val="99"/>
              </w:rPr>
              <w:t>with</w:t>
            </w:r>
          </w:p>
        </w:tc>
        <w:tc>
          <w:tcPr>
            <w:tcW w:w="0" w:type="dxa"/>
            <w:vAlign w:val="bottom"/>
          </w:tcPr>
          <w:p>
            <w:pPr>
              <w:spacing w:after="0"/>
              <w:rPr>
                <w:sz w:val="1"/>
                <w:szCs w:val="1"/>
                <w:color w:val="auto"/>
              </w:rPr>
            </w:pPr>
          </w:p>
        </w:tc>
      </w:tr>
      <w:tr>
        <w:trPr>
          <w:trHeight w:val="132"/>
        </w:trPr>
        <w:tc>
          <w:tcPr>
            <w:tcW w:w="820" w:type="dxa"/>
            <w:vAlign w:val="bottom"/>
            <w:shd w:val="clear" w:color="auto" w:fill="9ADAF6"/>
          </w:tcPr>
          <w:p>
            <w:pPr>
              <w:jc w:val="center"/>
              <w:spacing w:after="0" w:line="132" w:lineRule="exact"/>
              <w:rPr>
                <w:sz w:val="20"/>
                <w:szCs w:val="20"/>
                <w:color w:val="auto"/>
              </w:rPr>
            </w:pPr>
            <w:r>
              <w:rPr>
                <w:rFonts w:ascii="Arial" w:cs="Arial" w:eastAsia="Arial" w:hAnsi="Arial"/>
                <w:sz w:val="15"/>
                <w:szCs w:val="15"/>
                <w:b w:val="1"/>
                <w:bCs w:val="1"/>
                <w:color w:val="auto"/>
              </w:rPr>
              <w:t>Offset</w:t>
            </w:r>
          </w:p>
        </w:tc>
        <w:tc>
          <w:tcPr>
            <w:tcW w:w="20" w:type="dxa"/>
            <w:vAlign w:val="bottom"/>
          </w:tcPr>
          <w:p>
            <w:pPr>
              <w:spacing w:after="0"/>
              <w:rPr>
                <w:sz w:val="11"/>
                <w:szCs w:val="11"/>
                <w:color w:val="auto"/>
              </w:rPr>
            </w:pPr>
          </w:p>
        </w:tc>
        <w:tc>
          <w:tcPr>
            <w:tcW w:w="110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292"/>
        </w:trPr>
        <w:tc>
          <w:tcPr>
            <w:tcW w:w="820" w:type="dxa"/>
            <w:vAlign w:val="bottom"/>
            <w:shd w:val="clear" w:color="auto" w:fill="9ADAF6"/>
          </w:tcPr>
          <w:p>
            <w:pPr>
              <w:jc w:val="center"/>
              <w:spacing w:after="0"/>
              <w:rPr>
                <w:sz w:val="20"/>
                <w:szCs w:val="20"/>
                <w:color w:val="auto"/>
              </w:rPr>
            </w:pPr>
            <w:r>
              <w:rPr>
                <w:rFonts w:ascii="Arial" w:cs="Arial" w:eastAsia="Arial" w:hAnsi="Arial"/>
                <w:sz w:val="20"/>
                <w:szCs w:val="20"/>
                <w:b w:val="1"/>
                <w:bCs w:val="1"/>
                <w:color w:val="auto"/>
              </w:rPr>
              <w:t>Claimed</w:t>
            </w:r>
          </w:p>
        </w:tc>
        <w:tc>
          <w:tcPr>
            <w:tcW w:w="20" w:type="dxa"/>
            <w:vAlign w:val="bottom"/>
          </w:tcPr>
          <w:p>
            <w:pPr>
              <w:spacing w:after="0"/>
              <w:rPr>
                <w:sz w:val="24"/>
                <w:szCs w:val="24"/>
                <w:color w:val="auto"/>
              </w:rPr>
            </w:pPr>
          </w:p>
        </w:tc>
        <w:tc>
          <w:tcPr>
            <w:tcW w:w="1100" w:type="dxa"/>
            <w:vAlign w:val="bottom"/>
            <w:shd w:val="clear" w:color="auto" w:fill="9ADAF6"/>
          </w:tcPr>
          <w:p>
            <w:pPr>
              <w:jc w:val="center"/>
              <w:spacing w:after="0"/>
              <w:rPr>
                <w:sz w:val="20"/>
                <w:szCs w:val="20"/>
                <w:color w:val="auto"/>
              </w:rPr>
            </w:pPr>
            <w:r>
              <w:rPr>
                <w:rFonts w:ascii="Arial" w:cs="Arial" w:eastAsia="Arial" w:hAnsi="Arial"/>
                <w:sz w:val="20"/>
                <w:szCs w:val="20"/>
                <w:b w:val="1"/>
                <w:bCs w:val="1"/>
                <w:color w:val="auto"/>
                <w:w w:val="99"/>
              </w:rPr>
              <w:t>with Fee</w:t>
            </w:r>
          </w:p>
        </w:tc>
        <w:tc>
          <w:tcPr>
            <w:tcW w:w="20" w:type="dxa"/>
            <w:vAlign w:val="bottom"/>
          </w:tcPr>
          <w:p>
            <w:pPr>
              <w:spacing w:after="0"/>
              <w:rPr>
                <w:sz w:val="24"/>
                <w:szCs w:val="24"/>
                <w:color w:val="auto"/>
              </w:rPr>
            </w:pPr>
          </w:p>
        </w:tc>
        <w:tc>
          <w:tcPr>
            <w:tcW w:w="1100" w:type="dxa"/>
            <w:vAlign w:val="bottom"/>
            <w:shd w:val="clear" w:color="auto" w:fill="9ADAF6"/>
          </w:tcPr>
          <w:p>
            <w:pPr>
              <w:jc w:val="center"/>
              <w:spacing w:after="0"/>
              <w:rPr>
                <w:sz w:val="20"/>
                <w:szCs w:val="20"/>
                <w:color w:val="auto"/>
              </w:rPr>
            </w:pPr>
            <w:r>
              <w:rPr>
                <w:rFonts w:ascii="Arial" w:cs="Arial" w:eastAsia="Arial" w:hAnsi="Arial"/>
                <w:sz w:val="20"/>
                <w:szCs w:val="20"/>
                <w:b w:val="1"/>
                <w:bCs w:val="1"/>
                <w:color w:val="auto"/>
                <w:w w:val="99"/>
              </w:rPr>
              <w:t>with Fee</w:t>
            </w:r>
          </w:p>
        </w:tc>
        <w:tc>
          <w:tcPr>
            <w:tcW w:w="20" w:type="dxa"/>
            <w:vAlign w:val="bottom"/>
          </w:tcPr>
          <w:p>
            <w:pPr>
              <w:spacing w:after="0"/>
              <w:rPr>
                <w:sz w:val="24"/>
                <w:szCs w:val="24"/>
                <w:color w:val="auto"/>
              </w:rPr>
            </w:pPr>
          </w:p>
        </w:tc>
        <w:tc>
          <w:tcPr>
            <w:tcW w:w="1100" w:type="dxa"/>
            <w:vAlign w:val="bottom"/>
            <w:shd w:val="clear" w:color="auto" w:fill="9ADAF6"/>
          </w:tcPr>
          <w:p>
            <w:pPr>
              <w:jc w:val="center"/>
              <w:spacing w:after="0"/>
              <w:rPr>
                <w:sz w:val="20"/>
                <w:szCs w:val="20"/>
                <w:color w:val="auto"/>
              </w:rPr>
            </w:pPr>
            <w:r>
              <w:rPr>
                <w:rFonts w:ascii="Arial" w:cs="Arial" w:eastAsia="Arial" w:hAnsi="Arial"/>
                <w:sz w:val="20"/>
                <w:szCs w:val="20"/>
                <w:b w:val="1"/>
                <w:bCs w:val="1"/>
                <w:color w:val="auto"/>
                <w:w w:val="99"/>
              </w:rPr>
              <w:t>with Fee</w:t>
            </w:r>
          </w:p>
        </w:tc>
        <w:tc>
          <w:tcPr>
            <w:tcW w:w="20" w:type="dxa"/>
            <w:vAlign w:val="bottom"/>
          </w:tcPr>
          <w:p>
            <w:pPr>
              <w:spacing w:after="0"/>
              <w:rPr>
                <w:sz w:val="24"/>
                <w:szCs w:val="24"/>
                <w:color w:val="auto"/>
              </w:rPr>
            </w:pPr>
          </w:p>
        </w:tc>
        <w:tc>
          <w:tcPr>
            <w:tcW w:w="1100" w:type="dxa"/>
            <w:vAlign w:val="bottom"/>
            <w:shd w:val="clear" w:color="auto" w:fill="9ADAF6"/>
          </w:tcPr>
          <w:p>
            <w:pPr>
              <w:jc w:val="center"/>
              <w:spacing w:after="0"/>
              <w:rPr>
                <w:sz w:val="20"/>
                <w:szCs w:val="20"/>
                <w:color w:val="auto"/>
              </w:rPr>
            </w:pPr>
            <w:r>
              <w:rPr>
                <w:rFonts w:ascii="Arial" w:cs="Arial" w:eastAsia="Arial" w:hAnsi="Arial"/>
                <w:sz w:val="20"/>
                <w:szCs w:val="20"/>
                <w:b w:val="1"/>
                <w:bCs w:val="1"/>
                <w:color w:val="auto"/>
                <w:w w:val="99"/>
              </w:rPr>
              <w:t>Associated</w:t>
            </w:r>
          </w:p>
        </w:tc>
        <w:tc>
          <w:tcPr>
            <w:tcW w:w="20" w:type="dxa"/>
            <w:vAlign w:val="bottom"/>
          </w:tcPr>
          <w:p>
            <w:pPr>
              <w:spacing w:after="0"/>
              <w:rPr>
                <w:sz w:val="24"/>
                <w:szCs w:val="24"/>
                <w:color w:val="auto"/>
              </w:rPr>
            </w:pPr>
          </w:p>
        </w:tc>
        <w:tc>
          <w:tcPr>
            <w:tcW w:w="700" w:type="dxa"/>
            <w:vAlign w:val="bottom"/>
            <w:shd w:val="clear" w:color="auto" w:fill="9ADAF6"/>
          </w:tcPr>
          <w:p>
            <w:pPr>
              <w:jc w:val="center"/>
              <w:spacing w:after="0"/>
              <w:rPr>
                <w:sz w:val="20"/>
                <w:szCs w:val="20"/>
                <w:color w:val="auto"/>
              </w:rPr>
            </w:pPr>
            <w:r>
              <w:rPr>
                <w:rFonts w:ascii="Arial" w:cs="Arial" w:eastAsia="Arial" w:hAnsi="Arial"/>
                <w:sz w:val="20"/>
                <w:szCs w:val="20"/>
                <w:b w:val="1"/>
                <w:bCs w:val="1"/>
                <w:color w:val="auto"/>
                <w:w w:val="98"/>
              </w:rPr>
              <w:t>Fee</w:t>
            </w:r>
          </w:p>
        </w:tc>
        <w:tc>
          <w:tcPr>
            <w:tcW w:w="0" w:type="dxa"/>
            <w:vAlign w:val="bottom"/>
          </w:tcPr>
          <w:p>
            <w:pPr>
              <w:spacing w:after="0"/>
              <w:rPr>
                <w:sz w:val="1"/>
                <w:szCs w:val="1"/>
                <w:color w:val="auto"/>
              </w:rPr>
            </w:pPr>
          </w:p>
        </w:tc>
      </w:tr>
      <w:tr>
        <w:trPr>
          <w:trHeight w:val="136"/>
        </w:trPr>
        <w:tc>
          <w:tcPr>
            <w:tcW w:w="8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shd w:val="clear" w:color="auto" w:fill="9ADAF6"/>
          </w:tcPr>
          <w:p>
            <w:pPr>
              <w:jc w:val="center"/>
              <w:spacing w:after="0" w:line="136" w:lineRule="exact"/>
              <w:rPr>
                <w:sz w:val="20"/>
                <w:szCs w:val="20"/>
                <w:color w:val="auto"/>
              </w:rPr>
            </w:pPr>
            <w:r>
              <w:rPr>
                <w:rFonts w:ascii="Arial" w:cs="Arial" w:eastAsia="Arial" w:hAnsi="Arial"/>
                <w:sz w:val="15"/>
                <w:szCs w:val="15"/>
                <w:b w:val="1"/>
                <w:bCs w:val="1"/>
                <w:color w:val="auto"/>
              </w:rPr>
              <w:t>Offset</w:t>
            </w:r>
          </w:p>
        </w:tc>
        <w:tc>
          <w:tcPr>
            <w:tcW w:w="20" w:type="dxa"/>
            <w:vAlign w:val="bottom"/>
          </w:tcPr>
          <w:p>
            <w:pPr>
              <w:spacing w:after="0"/>
              <w:rPr>
                <w:sz w:val="11"/>
                <w:szCs w:val="11"/>
                <w:color w:val="auto"/>
              </w:rPr>
            </w:pPr>
          </w:p>
        </w:tc>
        <w:tc>
          <w:tcPr>
            <w:tcW w:w="1100" w:type="dxa"/>
            <w:vAlign w:val="bottom"/>
            <w:shd w:val="clear" w:color="auto" w:fill="9ADAF6"/>
          </w:tcPr>
          <w:p>
            <w:pPr>
              <w:jc w:val="center"/>
              <w:spacing w:after="0" w:line="136" w:lineRule="exact"/>
              <w:rPr>
                <w:sz w:val="20"/>
                <w:szCs w:val="20"/>
                <w:color w:val="auto"/>
              </w:rPr>
            </w:pPr>
            <w:r>
              <w:rPr>
                <w:rFonts w:ascii="Arial" w:cs="Arial" w:eastAsia="Arial" w:hAnsi="Arial"/>
                <w:sz w:val="15"/>
                <w:szCs w:val="15"/>
                <w:b w:val="1"/>
                <w:bCs w:val="1"/>
                <w:color w:val="auto"/>
              </w:rPr>
              <w:t>Offset</w:t>
            </w:r>
          </w:p>
        </w:tc>
        <w:tc>
          <w:tcPr>
            <w:tcW w:w="20" w:type="dxa"/>
            <w:vAlign w:val="bottom"/>
          </w:tcPr>
          <w:p>
            <w:pPr>
              <w:spacing w:after="0"/>
              <w:rPr>
                <w:sz w:val="11"/>
                <w:szCs w:val="11"/>
                <w:color w:val="auto"/>
              </w:rPr>
            </w:pPr>
          </w:p>
        </w:tc>
        <w:tc>
          <w:tcPr>
            <w:tcW w:w="1100" w:type="dxa"/>
            <w:vAlign w:val="bottom"/>
            <w:shd w:val="clear" w:color="auto" w:fill="9ADAF6"/>
          </w:tcPr>
          <w:p>
            <w:pPr>
              <w:jc w:val="center"/>
              <w:spacing w:after="0" w:line="136" w:lineRule="exact"/>
              <w:rPr>
                <w:sz w:val="20"/>
                <w:szCs w:val="20"/>
                <w:color w:val="auto"/>
              </w:rPr>
            </w:pPr>
            <w:r>
              <w:rPr>
                <w:rFonts w:ascii="Arial" w:cs="Arial" w:eastAsia="Arial" w:hAnsi="Arial"/>
                <w:sz w:val="15"/>
                <w:szCs w:val="15"/>
                <w:b w:val="1"/>
                <w:bCs w:val="1"/>
                <w:color w:val="auto"/>
              </w:rPr>
              <w:t>Offset</w:t>
            </w:r>
          </w:p>
        </w:tc>
        <w:tc>
          <w:tcPr>
            <w:tcW w:w="20" w:type="dxa"/>
            <w:vAlign w:val="bottom"/>
          </w:tcPr>
          <w:p>
            <w:pPr>
              <w:spacing w:after="0"/>
              <w:rPr>
                <w:sz w:val="11"/>
                <w:szCs w:val="11"/>
                <w:color w:val="auto"/>
              </w:rPr>
            </w:pPr>
          </w:p>
        </w:tc>
        <w:tc>
          <w:tcPr>
            <w:tcW w:w="1100" w:type="dxa"/>
            <w:vAlign w:val="bottom"/>
            <w:shd w:val="clear" w:color="auto" w:fill="9ADAF6"/>
          </w:tcPr>
          <w:p>
            <w:pPr>
              <w:jc w:val="center"/>
              <w:spacing w:after="0" w:line="136" w:lineRule="exact"/>
              <w:rPr>
                <w:sz w:val="20"/>
                <w:szCs w:val="20"/>
                <w:color w:val="auto"/>
              </w:rPr>
            </w:pPr>
            <w:r>
              <w:rPr>
                <w:rFonts w:ascii="Arial" w:cs="Arial" w:eastAsia="Arial" w:hAnsi="Arial"/>
                <w:sz w:val="15"/>
                <w:szCs w:val="15"/>
                <w:b w:val="1"/>
                <w:bCs w:val="1"/>
                <w:color w:val="auto"/>
              </w:rPr>
              <w:t>with Fee</w:t>
            </w:r>
          </w:p>
        </w:tc>
        <w:tc>
          <w:tcPr>
            <w:tcW w:w="20" w:type="dxa"/>
            <w:vAlign w:val="bottom"/>
          </w:tcPr>
          <w:p>
            <w:pPr>
              <w:spacing w:after="0"/>
              <w:rPr>
                <w:sz w:val="11"/>
                <w:szCs w:val="11"/>
                <w:color w:val="auto"/>
              </w:rPr>
            </w:pPr>
          </w:p>
        </w:tc>
        <w:tc>
          <w:tcPr>
            <w:tcW w:w="700" w:type="dxa"/>
            <w:vAlign w:val="bottom"/>
            <w:shd w:val="clear" w:color="auto" w:fill="9ADAF6"/>
          </w:tcPr>
          <w:p>
            <w:pPr>
              <w:jc w:val="center"/>
              <w:spacing w:after="0" w:line="136" w:lineRule="exact"/>
              <w:rPr>
                <w:sz w:val="20"/>
                <w:szCs w:val="20"/>
                <w:color w:val="auto"/>
              </w:rPr>
            </w:pPr>
            <w:r>
              <w:rPr>
                <w:rFonts w:ascii="Arial" w:cs="Arial" w:eastAsia="Arial" w:hAnsi="Arial"/>
                <w:sz w:val="15"/>
                <w:szCs w:val="15"/>
                <w:b w:val="1"/>
                <w:bCs w:val="1"/>
                <w:color w:val="auto"/>
              </w:rPr>
              <w:t>Offset</w:t>
            </w:r>
          </w:p>
        </w:tc>
        <w:tc>
          <w:tcPr>
            <w:tcW w:w="0" w:type="dxa"/>
            <w:vAlign w:val="bottom"/>
          </w:tcPr>
          <w:p>
            <w:pPr>
              <w:spacing w:after="0"/>
              <w:rPr>
                <w:sz w:val="1"/>
                <w:szCs w:val="1"/>
                <w:color w:val="auto"/>
              </w:rPr>
            </w:pPr>
          </w:p>
        </w:tc>
      </w:tr>
      <w:tr>
        <w:trPr>
          <w:trHeight w:val="224"/>
        </w:trPr>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shd w:val="clear" w:color="auto" w:fill="9ADAF6"/>
          </w:tcPr>
          <w:p>
            <w:pPr>
              <w:jc w:val="center"/>
              <w:spacing w:after="0" w:line="224" w:lineRule="exact"/>
              <w:rPr>
                <w:sz w:val="20"/>
                <w:szCs w:val="20"/>
                <w:color w:val="auto"/>
              </w:rPr>
            </w:pPr>
            <w:r>
              <w:rPr>
                <w:rFonts w:ascii="Arial" w:cs="Arial" w:eastAsia="Arial" w:hAnsi="Arial"/>
                <w:sz w:val="20"/>
                <w:szCs w:val="20"/>
                <w:b w:val="1"/>
                <w:bCs w:val="1"/>
                <w:color w:val="auto"/>
              </w:rPr>
              <w:t>Claimed</w:t>
            </w:r>
          </w:p>
        </w:tc>
        <w:tc>
          <w:tcPr>
            <w:tcW w:w="20" w:type="dxa"/>
            <w:vAlign w:val="bottom"/>
          </w:tcPr>
          <w:p>
            <w:pPr>
              <w:spacing w:after="0"/>
              <w:rPr>
                <w:sz w:val="19"/>
                <w:szCs w:val="19"/>
                <w:color w:val="auto"/>
              </w:rPr>
            </w:pPr>
          </w:p>
        </w:tc>
        <w:tc>
          <w:tcPr>
            <w:tcW w:w="1100" w:type="dxa"/>
            <w:vAlign w:val="bottom"/>
            <w:shd w:val="clear" w:color="auto" w:fill="9ADAF6"/>
          </w:tcPr>
          <w:p>
            <w:pPr>
              <w:jc w:val="center"/>
              <w:spacing w:after="0" w:line="224" w:lineRule="exact"/>
              <w:rPr>
                <w:sz w:val="20"/>
                <w:szCs w:val="20"/>
                <w:color w:val="auto"/>
              </w:rPr>
            </w:pPr>
            <w:r>
              <w:rPr>
                <w:rFonts w:ascii="Arial" w:cs="Arial" w:eastAsia="Arial" w:hAnsi="Arial"/>
                <w:sz w:val="20"/>
                <w:szCs w:val="20"/>
                <w:b w:val="1"/>
                <w:bCs w:val="1"/>
                <w:color w:val="auto"/>
              </w:rPr>
              <w:t>Claimed</w:t>
            </w:r>
          </w:p>
        </w:tc>
        <w:tc>
          <w:tcPr>
            <w:tcW w:w="20" w:type="dxa"/>
            <w:vAlign w:val="bottom"/>
          </w:tcPr>
          <w:p>
            <w:pPr>
              <w:spacing w:after="0"/>
              <w:rPr>
                <w:sz w:val="19"/>
                <w:szCs w:val="19"/>
                <w:color w:val="auto"/>
              </w:rPr>
            </w:pPr>
          </w:p>
        </w:tc>
        <w:tc>
          <w:tcPr>
            <w:tcW w:w="1100" w:type="dxa"/>
            <w:vAlign w:val="bottom"/>
            <w:shd w:val="clear" w:color="auto" w:fill="9ADAF6"/>
          </w:tcPr>
          <w:p>
            <w:pPr>
              <w:jc w:val="center"/>
              <w:spacing w:after="0" w:line="224" w:lineRule="exact"/>
              <w:rPr>
                <w:sz w:val="20"/>
                <w:szCs w:val="20"/>
                <w:color w:val="auto"/>
              </w:rPr>
            </w:pPr>
            <w:r>
              <w:rPr>
                <w:rFonts w:ascii="Arial" w:cs="Arial" w:eastAsia="Arial" w:hAnsi="Arial"/>
                <w:sz w:val="20"/>
                <w:szCs w:val="20"/>
                <w:b w:val="1"/>
                <w:bCs w:val="1"/>
                <w:color w:val="auto"/>
              </w:rPr>
              <w:t>Claimed</w:t>
            </w:r>
          </w:p>
        </w:tc>
        <w:tc>
          <w:tcPr>
            <w:tcW w:w="20" w:type="dxa"/>
            <w:vAlign w:val="bottom"/>
          </w:tcPr>
          <w:p>
            <w:pPr>
              <w:spacing w:after="0"/>
              <w:rPr>
                <w:sz w:val="19"/>
                <w:szCs w:val="19"/>
                <w:color w:val="auto"/>
              </w:rPr>
            </w:pPr>
          </w:p>
        </w:tc>
        <w:tc>
          <w:tcPr>
            <w:tcW w:w="1100" w:type="dxa"/>
            <w:vAlign w:val="bottom"/>
            <w:shd w:val="clear" w:color="auto" w:fill="9ADAF6"/>
          </w:tcPr>
          <w:p>
            <w:pPr>
              <w:jc w:val="center"/>
              <w:spacing w:after="0" w:line="224" w:lineRule="exact"/>
              <w:rPr>
                <w:sz w:val="20"/>
                <w:szCs w:val="20"/>
                <w:color w:val="auto"/>
              </w:rPr>
            </w:pPr>
            <w:r>
              <w:rPr>
                <w:rFonts w:ascii="Arial" w:cs="Arial" w:eastAsia="Arial" w:hAnsi="Arial"/>
                <w:sz w:val="20"/>
                <w:szCs w:val="20"/>
                <w:b w:val="1"/>
                <w:bCs w:val="1"/>
                <w:color w:val="auto"/>
              </w:rPr>
              <w:t>Offset</w:t>
            </w:r>
          </w:p>
        </w:tc>
        <w:tc>
          <w:tcPr>
            <w:tcW w:w="20" w:type="dxa"/>
            <w:vAlign w:val="bottom"/>
          </w:tcPr>
          <w:p>
            <w:pPr>
              <w:spacing w:after="0"/>
              <w:rPr>
                <w:sz w:val="19"/>
                <w:szCs w:val="19"/>
                <w:color w:val="auto"/>
              </w:rPr>
            </w:pPr>
          </w:p>
        </w:tc>
        <w:tc>
          <w:tcPr>
            <w:tcW w:w="700" w:type="dxa"/>
            <w:vAlign w:val="bottom"/>
            <w:shd w:val="clear" w:color="auto" w:fill="9ADAF6"/>
          </w:tcPr>
          <w:p>
            <w:pPr>
              <w:jc w:val="center"/>
              <w:spacing w:after="0" w:line="224" w:lineRule="exact"/>
              <w:rPr>
                <w:sz w:val="20"/>
                <w:szCs w:val="20"/>
                <w:color w:val="auto"/>
              </w:rPr>
            </w:pPr>
            <w:r>
              <w:rPr>
                <w:rFonts w:ascii="Arial" w:cs="Arial" w:eastAsia="Arial" w:hAnsi="Arial"/>
                <w:sz w:val="20"/>
                <w:szCs w:val="20"/>
                <w:b w:val="1"/>
                <w:bCs w:val="1"/>
                <w:color w:val="auto"/>
                <w:w w:val="97"/>
              </w:rPr>
              <w:t>Source</w:t>
            </w:r>
          </w:p>
        </w:tc>
        <w:tc>
          <w:tcPr>
            <w:tcW w:w="0" w:type="dxa"/>
            <w:vAlign w:val="bottom"/>
          </w:tcPr>
          <w:p>
            <w:pPr>
              <w:spacing w:after="0"/>
              <w:rPr>
                <w:sz w:val="1"/>
                <w:szCs w:val="1"/>
                <w:color w:val="auto"/>
              </w:rPr>
            </w:pPr>
          </w:p>
        </w:tc>
      </w:tr>
      <w:tr>
        <w:trPr>
          <w:trHeight w:val="262"/>
        </w:trPr>
        <w:tc>
          <w:tcPr>
            <w:tcW w:w="820" w:type="dxa"/>
            <w:vAlign w:val="bottom"/>
            <w:shd w:val="clear" w:color="auto" w:fill="9ADAF6"/>
          </w:tcPr>
          <w:p>
            <w:pPr>
              <w:spacing w:after="0"/>
              <w:rPr>
                <w:sz w:val="22"/>
                <w:szCs w:val="22"/>
                <w:color w:val="auto"/>
              </w:rPr>
            </w:pPr>
          </w:p>
        </w:tc>
        <w:tc>
          <w:tcPr>
            <w:tcW w:w="20" w:type="dxa"/>
            <w:vAlign w:val="bottom"/>
          </w:tcPr>
          <w:p>
            <w:pPr>
              <w:spacing w:after="0"/>
              <w:rPr>
                <w:sz w:val="22"/>
                <w:szCs w:val="22"/>
                <w:color w:val="auto"/>
              </w:rPr>
            </w:pPr>
          </w:p>
        </w:tc>
        <w:tc>
          <w:tcPr>
            <w:tcW w:w="1100" w:type="dxa"/>
            <w:vAlign w:val="bottom"/>
            <w:shd w:val="clear" w:color="auto" w:fill="9ADAF6"/>
          </w:tcPr>
          <w:p>
            <w:pPr>
              <w:spacing w:after="0"/>
              <w:rPr>
                <w:sz w:val="22"/>
                <w:szCs w:val="22"/>
                <w:color w:val="auto"/>
              </w:rPr>
            </w:pPr>
          </w:p>
        </w:tc>
        <w:tc>
          <w:tcPr>
            <w:tcW w:w="20" w:type="dxa"/>
            <w:vAlign w:val="bottom"/>
          </w:tcPr>
          <w:p>
            <w:pPr>
              <w:spacing w:after="0"/>
              <w:rPr>
                <w:sz w:val="22"/>
                <w:szCs w:val="22"/>
                <w:color w:val="auto"/>
              </w:rPr>
            </w:pPr>
          </w:p>
        </w:tc>
        <w:tc>
          <w:tcPr>
            <w:tcW w:w="1100" w:type="dxa"/>
            <w:vAlign w:val="bottom"/>
            <w:shd w:val="clear" w:color="auto" w:fill="9ADAF6"/>
          </w:tcPr>
          <w:p>
            <w:pPr>
              <w:spacing w:after="0"/>
              <w:rPr>
                <w:sz w:val="22"/>
                <w:szCs w:val="22"/>
                <w:color w:val="auto"/>
              </w:rPr>
            </w:pPr>
          </w:p>
        </w:tc>
        <w:tc>
          <w:tcPr>
            <w:tcW w:w="20" w:type="dxa"/>
            <w:vAlign w:val="bottom"/>
          </w:tcPr>
          <w:p>
            <w:pPr>
              <w:spacing w:after="0"/>
              <w:rPr>
                <w:sz w:val="22"/>
                <w:szCs w:val="22"/>
                <w:color w:val="auto"/>
              </w:rPr>
            </w:pPr>
          </w:p>
        </w:tc>
        <w:tc>
          <w:tcPr>
            <w:tcW w:w="1100" w:type="dxa"/>
            <w:vAlign w:val="bottom"/>
            <w:shd w:val="clear" w:color="auto" w:fill="9ADAF6"/>
          </w:tcPr>
          <w:p>
            <w:pPr>
              <w:spacing w:after="0"/>
              <w:rPr>
                <w:sz w:val="22"/>
                <w:szCs w:val="22"/>
                <w:color w:val="auto"/>
              </w:rPr>
            </w:pPr>
          </w:p>
        </w:tc>
        <w:tc>
          <w:tcPr>
            <w:tcW w:w="20" w:type="dxa"/>
            <w:vAlign w:val="bottom"/>
          </w:tcPr>
          <w:p>
            <w:pPr>
              <w:spacing w:after="0"/>
              <w:rPr>
                <w:sz w:val="22"/>
                <w:szCs w:val="22"/>
                <w:color w:val="auto"/>
              </w:rPr>
            </w:pPr>
          </w:p>
        </w:tc>
        <w:tc>
          <w:tcPr>
            <w:tcW w:w="1100" w:type="dxa"/>
            <w:vAlign w:val="bottom"/>
            <w:shd w:val="clear" w:color="auto" w:fill="9ADAF6"/>
          </w:tcPr>
          <w:p>
            <w:pPr>
              <w:jc w:val="center"/>
              <w:spacing w:after="0"/>
              <w:rPr>
                <w:sz w:val="20"/>
                <w:szCs w:val="20"/>
                <w:color w:val="auto"/>
              </w:rPr>
            </w:pPr>
            <w:r>
              <w:rPr>
                <w:rFonts w:ascii="Arial" w:cs="Arial" w:eastAsia="Arial" w:hAnsi="Arial"/>
                <w:sz w:val="20"/>
                <w:szCs w:val="20"/>
                <w:b w:val="1"/>
                <w:bCs w:val="1"/>
                <w:color w:val="auto"/>
              </w:rPr>
              <w:t>Claimed</w:t>
            </w:r>
          </w:p>
        </w:tc>
        <w:tc>
          <w:tcPr>
            <w:tcW w:w="20" w:type="dxa"/>
            <w:vAlign w:val="bottom"/>
          </w:tcPr>
          <w:p>
            <w:pPr>
              <w:spacing w:after="0"/>
              <w:rPr>
                <w:sz w:val="22"/>
                <w:szCs w:val="22"/>
                <w:color w:val="auto"/>
              </w:rPr>
            </w:pPr>
          </w:p>
        </w:tc>
        <w:tc>
          <w:tcPr>
            <w:tcW w:w="700" w:type="dxa"/>
            <w:vAlign w:val="bottom"/>
            <w:shd w:val="clear" w:color="auto" w:fill="9ADAF6"/>
          </w:tcPr>
          <w:p>
            <w:pPr>
              <w:spacing w:after="0"/>
              <w:rPr>
                <w:sz w:val="22"/>
                <w:szCs w:val="22"/>
                <w:color w:val="auto"/>
              </w:rPr>
            </w:pPr>
          </w:p>
        </w:tc>
        <w:tc>
          <w:tcPr>
            <w:tcW w:w="0" w:type="dxa"/>
            <w:vAlign w:val="bottom"/>
          </w:tcPr>
          <w:p>
            <w:pPr>
              <w:spacing w:after="0"/>
              <w:rPr>
                <w:sz w:val="1"/>
                <w:szCs w:val="1"/>
                <w:color w:val="auto"/>
              </w:rPr>
            </w:pPr>
          </w:p>
        </w:tc>
      </w:tr>
    </w:tbl>
    <w:p>
      <w:pPr>
        <w:spacing w:after="0" w:line="11" w:lineRule="exact"/>
        <w:rPr>
          <w:sz w:val="20"/>
          <w:szCs w:val="20"/>
          <w:color w:val="auto"/>
        </w:rPr>
      </w:pPr>
    </w:p>
    <w:p>
      <w:pPr>
        <w:sectPr>
          <w:pgSz w:w="11900" w:h="16838" w:orient="portrait"/>
          <w:cols w:equalWidth="0" w:num="3">
            <w:col w:w="2300" w:space="140"/>
            <w:col w:w="2660" w:space="20"/>
            <w:col w:w="6060"/>
          </w:cols>
          <w:pgMar w:left="360" w:top="114" w:right="359" w:bottom="1440" w:gutter="0" w:footer="0" w:header="0"/>
          <w:type w:val="continuous"/>
        </w:sect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Fee</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Offset</w:t>
      </w:r>
    </w:p>
    <w:p>
      <w:pPr>
        <w:spacing w:after="0"/>
        <w:rPr>
          <w:sz w:val="20"/>
          <w:szCs w:val="20"/>
          <w:color w:val="auto"/>
        </w:rPr>
      </w:pPr>
      <w:r>
        <w:rPr>
          <w:rFonts w:ascii="Arial" w:cs="Arial" w:eastAsia="Arial" w:hAnsi="Arial"/>
          <w:sz w:val="20"/>
          <w:szCs w:val="20"/>
          <w:color w:val="auto"/>
        </w:rPr>
        <w:t>Claims</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color w:val="auto"/>
        </w:rPr>
        <w:t>Fee</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Offset</w:t>
      </w:r>
    </w:p>
    <w:p>
      <w:pPr>
        <w:spacing w:after="0"/>
        <w:rPr>
          <w:sz w:val="20"/>
          <w:szCs w:val="20"/>
          <w:color w:val="auto"/>
        </w:rPr>
      </w:pPr>
      <w:r>
        <w:rPr>
          <w:rFonts w:ascii="Arial" w:cs="Arial" w:eastAsia="Arial" w:hAnsi="Arial"/>
          <w:sz w:val="20"/>
          <w:szCs w:val="20"/>
          <w:color w:val="auto"/>
        </w:rPr>
        <w:t>Sources</w:t>
      </w:r>
    </w:p>
    <w:p>
      <w:pPr>
        <w:spacing w:after="0" w:line="20" w:lineRule="exact"/>
        <w:rPr>
          <w:sz w:val="20"/>
          <w:szCs w:val="20"/>
          <w:color w:val="auto"/>
        </w:rPr>
      </w:pPr>
      <w:r>
        <w:rPr>
          <w:sz w:val="20"/>
          <w:szCs w:val="20"/>
          <w:color w:val="auto"/>
        </w:rPr>
        <w:br w:type="column"/>
      </w:r>
    </w:p>
    <w:p>
      <w:pPr>
        <w:jc w:val="center"/>
        <w:ind w:right="5060"/>
        <w:spacing w:after="0"/>
        <w:rPr>
          <w:sz w:val="20"/>
          <w:szCs w:val="20"/>
          <w:color w:val="auto"/>
        </w:rPr>
      </w:pPr>
      <w:r>
        <w:rPr>
          <w:rFonts w:ascii="Arial" w:cs="Arial" w:eastAsia="Arial" w:hAnsi="Arial"/>
          <w:sz w:val="20"/>
          <w:szCs w:val="20"/>
          <w:b w:val="1"/>
          <w:bCs w:val="1"/>
          <w:color w:val="auto"/>
        </w:rPr>
        <w:t>Rule 457(p)</w:t>
      </w:r>
    </w:p>
    <w:p>
      <w:pPr>
        <w:sectPr>
          <w:pgSz w:w="11900" w:h="16838" w:orient="portrait"/>
          <w:cols w:equalWidth="0" w:num="2">
            <w:col w:w="4320" w:space="720"/>
            <w:col w:w="6140"/>
          </w:cols>
          <w:pgMar w:left="360" w:top="114" w:right="359" w:bottom="1440" w:gutter="0" w:footer="0" w:header="0"/>
          <w:type w:val="continuous"/>
        </w:sectPr>
      </w:pPr>
    </w:p>
    <w:bookmarkStart w:id="13" w:name="page14"/>
    <w:bookmarkEnd w:id="13"/>
    <w:p>
      <w:pPr>
        <w:ind w:left="9360"/>
        <w:spacing w:after="0"/>
        <w:rPr>
          <w:sz w:val="20"/>
          <w:szCs w:val="20"/>
          <w:color w:val="auto"/>
        </w:rPr>
      </w:pPr>
      <w:r>
        <w:rPr>
          <w:rFonts w:ascii="Times New Roman" w:cs="Times New Roman" w:eastAsia="Times New Roman" w:hAnsi="Times New Roman"/>
          <w:sz w:val="16"/>
          <w:szCs w:val="16"/>
          <w:b w:val="1"/>
          <w:bCs w:val="1"/>
          <w:color w:val="auto"/>
        </w:rPr>
        <w:t>Exhibit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472440</wp:posOffset>
            </wp:positionV>
            <wp:extent cx="7200900" cy="4369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4">
                      <a:extLst>
                        <a:ext uri="{28A0092B-C50C-407E-A947-70E740481C1C}"/>
                      </a:extLst>
                    </a:blip>
                    <a:srcRect/>
                    <a:stretch>
                      <a:fillRect/>
                    </a:stretch>
                  </pic:blipFill>
                  <pic:spPr bwMode="auto">
                    <a:xfrm>
                      <a:off x="0" y="0"/>
                      <a:ext cx="7200900" cy="4369435"/>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1119505</wp:posOffset>
            </wp:positionH>
            <wp:positionV relativeFrom="page">
              <wp:posOffset>657860</wp:posOffset>
            </wp:positionV>
            <wp:extent cx="5309870" cy="69532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5309870" cy="6953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7"/>
          <w:szCs w:val="17"/>
          <w:b w:val="1"/>
          <w:bCs w:val="1"/>
          <w:color w:val="auto"/>
        </w:rPr>
        <w:t>Exhibit 5.1</w:t>
      </w:r>
    </w:p>
    <w:p>
      <w:pPr>
        <w:spacing w:after="0" w:line="83" w:lineRule="exact"/>
        <w:rPr>
          <w:sz w:val="20"/>
          <w:szCs w:val="20"/>
          <w:color w:val="auto"/>
        </w:rPr>
      </w:pPr>
    </w:p>
    <w:p>
      <w:pPr>
        <w:ind w:left="7220"/>
        <w:spacing w:after="0"/>
        <w:rPr>
          <w:sz w:val="20"/>
          <w:szCs w:val="20"/>
          <w:color w:val="auto"/>
        </w:rPr>
      </w:pPr>
      <w:r>
        <w:rPr>
          <w:rFonts w:ascii="Arial" w:cs="Arial" w:eastAsia="Arial" w:hAnsi="Arial"/>
          <w:sz w:val="12"/>
          <w:szCs w:val="12"/>
          <w:color w:val="auto"/>
        </w:rPr>
        <w:t>801 Jefferson Avenue, Suite 300</w:t>
      </w:r>
    </w:p>
    <w:p>
      <w:pPr>
        <w:spacing w:after="0" w:line="49" w:lineRule="exact"/>
        <w:rPr>
          <w:sz w:val="20"/>
          <w:szCs w:val="20"/>
          <w:color w:val="auto"/>
        </w:rPr>
      </w:pPr>
    </w:p>
    <w:p>
      <w:pPr>
        <w:ind w:left="7220"/>
        <w:spacing w:after="0"/>
        <w:rPr>
          <w:sz w:val="20"/>
          <w:szCs w:val="20"/>
          <w:color w:val="auto"/>
        </w:rPr>
      </w:pPr>
      <w:r>
        <w:rPr>
          <w:rFonts w:ascii="Arial" w:cs="Arial" w:eastAsia="Arial" w:hAnsi="Arial"/>
          <w:sz w:val="12"/>
          <w:szCs w:val="12"/>
          <w:color w:val="auto"/>
        </w:rPr>
        <w:t>Redwood City, California 94063</w:t>
      </w:r>
    </w:p>
    <w:p>
      <w:pPr>
        <w:spacing w:after="0" w:line="36" w:lineRule="exact"/>
        <w:rPr>
          <w:sz w:val="20"/>
          <w:szCs w:val="20"/>
          <w:color w:val="auto"/>
        </w:rPr>
      </w:pPr>
    </w:p>
    <w:p>
      <w:pPr>
        <w:ind w:left="7220"/>
        <w:spacing w:after="0"/>
        <w:rPr>
          <w:sz w:val="20"/>
          <w:szCs w:val="20"/>
          <w:color w:val="auto"/>
        </w:rPr>
      </w:pPr>
      <w:r>
        <w:rPr>
          <w:rFonts w:ascii="Arial" w:cs="Arial" w:eastAsia="Arial" w:hAnsi="Arial"/>
          <w:sz w:val="12"/>
          <w:szCs w:val="12"/>
          <w:color w:val="auto"/>
        </w:rPr>
        <w:t>Tel: +1.650.328.4600 Fax: +1.650.463.2600</w:t>
      </w:r>
    </w:p>
    <w:p>
      <w:pPr>
        <w:spacing w:after="0" w:line="49" w:lineRule="exact"/>
        <w:rPr>
          <w:sz w:val="20"/>
          <w:szCs w:val="20"/>
          <w:color w:val="auto"/>
        </w:rPr>
      </w:pPr>
    </w:p>
    <w:p>
      <w:pPr>
        <w:ind w:left="7220"/>
        <w:spacing w:after="0"/>
        <w:rPr>
          <w:sz w:val="20"/>
          <w:szCs w:val="20"/>
          <w:color w:val="auto"/>
        </w:rPr>
      </w:pPr>
      <w:r>
        <w:rPr>
          <w:rFonts w:ascii="Arial" w:cs="Arial" w:eastAsia="Arial" w:hAnsi="Arial"/>
          <w:sz w:val="12"/>
          <w:szCs w:val="12"/>
          <w:color w:val="auto"/>
        </w:rPr>
        <w:t>www.lw.com</w:t>
      </w:r>
    </w:p>
    <w:p>
      <w:pPr>
        <w:spacing w:after="0" w:line="173" w:lineRule="exact"/>
        <w:rPr>
          <w:sz w:val="20"/>
          <w:szCs w:val="20"/>
          <w:color w:val="auto"/>
        </w:rPr>
      </w:pPr>
    </w:p>
    <w:p>
      <w:pPr>
        <w:ind w:left="7220"/>
        <w:spacing w:after="0"/>
        <w:rPr>
          <w:sz w:val="20"/>
          <w:szCs w:val="20"/>
          <w:color w:val="auto"/>
        </w:rPr>
      </w:pPr>
      <w:r>
        <w:rPr>
          <w:rFonts w:ascii="Arial" w:cs="Arial" w:eastAsia="Arial" w:hAnsi="Arial"/>
          <w:sz w:val="12"/>
          <w:szCs w:val="12"/>
          <w:color w:val="auto"/>
        </w:rPr>
        <w:t>FIRM / AFFILIATE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-37465</wp:posOffset>
            </wp:positionV>
            <wp:extent cx="1896110" cy="1263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6">
                      <a:extLst>
                        <a:ext uri="{28A0092B-C50C-407E-A947-70E740481C1C}"/>
                      </a:extLst>
                    </a:blip>
                    <a:srcRect/>
                    <a:stretch>
                      <a:fillRect/>
                    </a:stretch>
                  </pic:blipFill>
                  <pic:spPr bwMode="auto">
                    <a:xfrm>
                      <a:off x="0" y="0"/>
                      <a:ext cx="1896110" cy="126365"/>
                    </a:xfrm>
                    <a:prstGeom prst="rect">
                      <a:avLst/>
                    </a:prstGeom>
                    <a:noFill/>
                  </pic:spPr>
                </pic:pic>
              </a:graphicData>
            </a:graphic>
          </wp:anchor>
        </w:drawing>
      </w:r>
    </w:p>
    <w:p>
      <w:pPr>
        <w:spacing w:after="0" w:line="29" w:lineRule="exact"/>
        <w:rPr>
          <w:sz w:val="20"/>
          <w:szCs w:val="20"/>
          <w:color w:val="auto"/>
        </w:rPr>
      </w:pPr>
    </w:p>
    <w:p>
      <w:pPr>
        <w:ind w:left="7220"/>
        <w:spacing w:after="0"/>
        <w:tabs>
          <w:tab w:leader="none" w:pos="8500" w:val="left"/>
        </w:tabs>
        <w:rPr>
          <w:sz w:val="20"/>
          <w:szCs w:val="20"/>
          <w:color w:val="auto"/>
        </w:rPr>
      </w:pPr>
      <w:r>
        <w:rPr>
          <w:rFonts w:ascii="Arial" w:cs="Arial" w:eastAsia="Arial" w:hAnsi="Arial"/>
          <w:sz w:val="12"/>
          <w:szCs w:val="12"/>
          <w:color w:val="auto"/>
        </w:rPr>
        <w:t>Austin</w:t>
      </w:r>
      <w:r>
        <w:rPr>
          <w:sz w:val="20"/>
          <w:szCs w:val="20"/>
          <w:color w:val="auto"/>
        </w:rPr>
        <w:tab/>
      </w:r>
      <w:r>
        <w:rPr>
          <w:rFonts w:ascii="Arial" w:cs="Arial" w:eastAsia="Arial" w:hAnsi="Arial"/>
          <w:sz w:val="12"/>
          <w:szCs w:val="12"/>
          <w:color w:val="auto"/>
        </w:rPr>
        <w:t>Milan</w:t>
      </w:r>
    </w:p>
    <w:p>
      <w:pPr>
        <w:spacing w:after="0" w:line="49" w:lineRule="exact"/>
        <w:rPr>
          <w:sz w:val="20"/>
          <w:szCs w:val="20"/>
          <w:color w:val="auto"/>
        </w:rPr>
      </w:pPr>
    </w:p>
    <w:p>
      <w:pPr>
        <w:ind w:left="7220"/>
        <w:spacing w:after="0"/>
        <w:tabs>
          <w:tab w:leader="none" w:pos="8500" w:val="left"/>
        </w:tabs>
        <w:rPr>
          <w:sz w:val="20"/>
          <w:szCs w:val="20"/>
          <w:color w:val="auto"/>
        </w:rPr>
      </w:pPr>
      <w:r>
        <w:rPr>
          <w:rFonts w:ascii="Arial" w:cs="Arial" w:eastAsia="Arial" w:hAnsi="Arial"/>
          <w:sz w:val="12"/>
          <w:szCs w:val="12"/>
          <w:color w:val="auto"/>
        </w:rPr>
        <w:t>Beijing</w:t>
      </w:r>
      <w:r>
        <w:rPr>
          <w:sz w:val="20"/>
          <w:szCs w:val="20"/>
          <w:color w:val="auto"/>
        </w:rPr>
        <w:tab/>
      </w:r>
      <w:r>
        <w:rPr>
          <w:rFonts w:ascii="Arial" w:cs="Arial" w:eastAsia="Arial" w:hAnsi="Arial"/>
          <w:sz w:val="12"/>
          <w:szCs w:val="12"/>
          <w:color w:val="auto"/>
        </w:rPr>
        <w:t>Munich</w:t>
      </w:r>
    </w:p>
    <w:p>
      <w:pPr>
        <w:spacing w:after="0" w:line="49" w:lineRule="exact"/>
        <w:rPr>
          <w:sz w:val="20"/>
          <w:szCs w:val="20"/>
          <w:color w:val="auto"/>
        </w:rPr>
      </w:pPr>
    </w:p>
    <w:p>
      <w:pPr>
        <w:ind w:left="7220"/>
        <w:spacing w:after="0"/>
        <w:tabs>
          <w:tab w:leader="none" w:pos="8500" w:val="left"/>
        </w:tabs>
        <w:rPr>
          <w:sz w:val="20"/>
          <w:szCs w:val="20"/>
          <w:color w:val="auto"/>
        </w:rPr>
      </w:pPr>
      <w:r>
        <w:rPr>
          <w:rFonts w:ascii="Arial" w:cs="Arial" w:eastAsia="Arial" w:hAnsi="Arial"/>
          <w:sz w:val="12"/>
          <w:szCs w:val="12"/>
          <w:color w:val="auto"/>
        </w:rPr>
        <w:t>Boston</w:t>
      </w:r>
      <w:r>
        <w:rPr>
          <w:sz w:val="20"/>
          <w:szCs w:val="20"/>
          <w:color w:val="auto"/>
        </w:rPr>
        <w:tab/>
      </w:r>
      <w:r>
        <w:rPr>
          <w:rFonts w:ascii="Arial" w:cs="Arial" w:eastAsia="Arial" w:hAnsi="Arial"/>
          <w:sz w:val="12"/>
          <w:szCs w:val="12"/>
          <w:color w:val="auto"/>
        </w:rPr>
        <w:t>New York</w:t>
      </w:r>
    </w:p>
    <w:p>
      <w:pPr>
        <w:spacing w:after="0" w:line="36" w:lineRule="exact"/>
        <w:rPr>
          <w:sz w:val="20"/>
          <w:szCs w:val="20"/>
          <w:color w:val="auto"/>
        </w:rPr>
      </w:pPr>
    </w:p>
    <w:p>
      <w:pPr>
        <w:ind w:left="7220"/>
        <w:spacing w:after="0"/>
        <w:tabs>
          <w:tab w:leader="none" w:pos="8500" w:val="left"/>
        </w:tabs>
        <w:rPr>
          <w:sz w:val="20"/>
          <w:szCs w:val="20"/>
          <w:color w:val="auto"/>
        </w:rPr>
      </w:pPr>
      <w:r>
        <w:rPr>
          <w:rFonts w:ascii="Arial" w:cs="Arial" w:eastAsia="Arial" w:hAnsi="Arial"/>
          <w:sz w:val="12"/>
          <w:szCs w:val="12"/>
          <w:color w:val="auto"/>
        </w:rPr>
        <w:t>Brussels</w:t>
      </w:r>
      <w:r>
        <w:rPr>
          <w:sz w:val="20"/>
          <w:szCs w:val="20"/>
          <w:color w:val="auto"/>
        </w:rPr>
        <w:tab/>
      </w:r>
      <w:r>
        <w:rPr>
          <w:rFonts w:ascii="Arial" w:cs="Arial" w:eastAsia="Arial" w:hAnsi="Arial"/>
          <w:sz w:val="12"/>
          <w:szCs w:val="12"/>
          <w:color w:val="auto"/>
        </w:rPr>
        <w:t>Orange County</w:t>
      </w:r>
    </w:p>
    <w:p>
      <w:pPr>
        <w:spacing w:after="0" w:line="36" w:lineRule="exact"/>
        <w:rPr>
          <w:sz w:val="20"/>
          <w:szCs w:val="20"/>
          <w:color w:val="auto"/>
        </w:rPr>
      </w:pPr>
    </w:p>
    <w:p>
      <w:pPr>
        <w:ind w:left="7220"/>
        <w:spacing w:after="0"/>
        <w:tabs>
          <w:tab w:leader="none" w:pos="8500" w:val="left"/>
        </w:tabs>
        <w:rPr>
          <w:sz w:val="20"/>
          <w:szCs w:val="20"/>
          <w:color w:val="auto"/>
        </w:rPr>
      </w:pPr>
      <w:r>
        <w:rPr>
          <w:rFonts w:ascii="Arial" w:cs="Arial" w:eastAsia="Arial" w:hAnsi="Arial"/>
          <w:sz w:val="12"/>
          <w:szCs w:val="12"/>
          <w:color w:val="auto"/>
        </w:rPr>
        <w:t>Chicago</w:t>
      </w:r>
      <w:r>
        <w:rPr>
          <w:sz w:val="20"/>
          <w:szCs w:val="20"/>
          <w:color w:val="auto"/>
        </w:rPr>
        <w:tab/>
      </w:r>
      <w:r>
        <w:rPr>
          <w:rFonts w:ascii="Arial" w:cs="Arial" w:eastAsia="Arial" w:hAnsi="Arial"/>
          <w:sz w:val="12"/>
          <w:szCs w:val="12"/>
          <w:color w:val="auto"/>
        </w:rPr>
        <w:t>Paris</w:t>
      </w:r>
    </w:p>
    <w:p>
      <w:pPr>
        <w:spacing w:after="0" w:line="49" w:lineRule="exact"/>
        <w:rPr>
          <w:sz w:val="20"/>
          <w:szCs w:val="20"/>
          <w:color w:val="auto"/>
        </w:rPr>
      </w:pPr>
    </w:p>
    <w:p>
      <w:pPr>
        <w:ind w:left="7220"/>
        <w:spacing w:after="0"/>
        <w:tabs>
          <w:tab w:leader="none" w:pos="8500" w:val="left"/>
        </w:tabs>
        <w:rPr>
          <w:sz w:val="20"/>
          <w:szCs w:val="20"/>
          <w:color w:val="auto"/>
        </w:rPr>
      </w:pPr>
      <w:r>
        <w:rPr>
          <w:rFonts w:ascii="Arial" w:cs="Arial" w:eastAsia="Arial" w:hAnsi="Arial"/>
          <w:sz w:val="12"/>
          <w:szCs w:val="12"/>
          <w:color w:val="auto"/>
        </w:rPr>
        <w:t>Dubai</w:t>
      </w:r>
      <w:r>
        <w:rPr>
          <w:sz w:val="20"/>
          <w:szCs w:val="20"/>
          <w:color w:val="auto"/>
        </w:rPr>
        <w:tab/>
      </w:r>
      <w:r>
        <w:rPr>
          <w:rFonts w:ascii="Arial" w:cs="Arial" w:eastAsia="Arial" w:hAnsi="Arial"/>
          <w:sz w:val="12"/>
          <w:szCs w:val="12"/>
          <w:color w:val="auto"/>
        </w:rPr>
        <w:t>Riyadh</w:t>
      </w:r>
    </w:p>
    <w:p>
      <w:pPr>
        <w:spacing w:after="0" w:line="49" w:lineRule="exact"/>
        <w:rPr>
          <w:sz w:val="20"/>
          <w:szCs w:val="20"/>
          <w:color w:val="auto"/>
        </w:rPr>
      </w:pPr>
    </w:p>
    <w:p>
      <w:pPr>
        <w:ind w:left="7220"/>
        <w:spacing w:after="0"/>
        <w:tabs>
          <w:tab w:leader="none" w:pos="8500" w:val="left"/>
        </w:tabs>
        <w:rPr>
          <w:sz w:val="20"/>
          <w:szCs w:val="20"/>
          <w:color w:val="auto"/>
        </w:rPr>
      </w:pPr>
      <w:r>
        <w:rPr>
          <w:rFonts w:ascii="Arial" w:cs="Arial" w:eastAsia="Arial" w:hAnsi="Arial"/>
          <w:sz w:val="12"/>
          <w:szCs w:val="12"/>
          <w:color w:val="auto"/>
        </w:rPr>
        <w:t>Düsseldorf</w:t>
      </w:r>
      <w:r>
        <w:rPr>
          <w:sz w:val="20"/>
          <w:szCs w:val="20"/>
          <w:color w:val="auto"/>
        </w:rPr>
        <w:tab/>
      </w:r>
      <w:r>
        <w:rPr>
          <w:rFonts w:ascii="Arial" w:cs="Arial" w:eastAsia="Arial" w:hAnsi="Arial"/>
          <w:sz w:val="12"/>
          <w:szCs w:val="12"/>
          <w:color w:val="auto"/>
        </w:rPr>
        <w:t>San Diego</w:t>
      </w:r>
    </w:p>
    <w:p>
      <w:pPr>
        <w:spacing w:after="0" w:line="49" w:lineRule="exact"/>
        <w:rPr>
          <w:sz w:val="20"/>
          <w:szCs w:val="20"/>
          <w:color w:val="auto"/>
        </w:rPr>
      </w:pPr>
    </w:p>
    <w:p>
      <w:pPr>
        <w:ind w:left="7220"/>
        <w:spacing w:after="0"/>
        <w:tabs>
          <w:tab w:leader="none" w:pos="8500" w:val="left"/>
        </w:tabs>
        <w:rPr>
          <w:sz w:val="20"/>
          <w:szCs w:val="20"/>
          <w:color w:val="auto"/>
        </w:rPr>
      </w:pPr>
      <w:r>
        <w:rPr>
          <w:rFonts w:ascii="Arial" w:cs="Arial" w:eastAsia="Arial" w:hAnsi="Arial"/>
          <w:sz w:val="12"/>
          <w:szCs w:val="12"/>
          <w:color w:val="auto"/>
        </w:rPr>
        <w:t>Frankfurt</w:t>
      </w:r>
      <w:r>
        <w:rPr>
          <w:sz w:val="20"/>
          <w:szCs w:val="20"/>
          <w:color w:val="auto"/>
        </w:rPr>
        <w:tab/>
      </w:r>
      <w:r>
        <w:rPr>
          <w:rFonts w:ascii="Arial" w:cs="Arial" w:eastAsia="Arial" w:hAnsi="Arial"/>
          <w:sz w:val="12"/>
          <w:szCs w:val="12"/>
          <w:color w:val="auto"/>
        </w:rPr>
        <w:t>San Francisco</w:t>
      </w:r>
    </w:p>
    <w:p>
      <w:pPr>
        <w:spacing w:after="0" w:line="49" w:lineRule="exact"/>
        <w:rPr>
          <w:sz w:val="20"/>
          <w:szCs w:val="20"/>
          <w:color w:val="auto"/>
        </w:rPr>
      </w:pPr>
    </w:p>
    <w:p>
      <w:pPr>
        <w:ind w:left="7220"/>
        <w:spacing w:after="0"/>
        <w:tabs>
          <w:tab w:leader="none" w:pos="8500" w:val="left"/>
        </w:tabs>
        <w:rPr>
          <w:sz w:val="20"/>
          <w:szCs w:val="20"/>
          <w:color w:val="auto"/>
        </w:rPr>
      </w:pPr>
      <w:r>
        <w:rPr>
          <w:rFonts w:ascii="Arial" w:cs="Arial" w:eastAsia="Arial" w:hAnsi="Arial"/>
          <w:sz w:val="12"/>
          <w:szCs w:val="12"/>
          <w:color w:val="auto"/>
        </w:rPr>
        <w:t>Hamburg</w:t>
      </w:r>
      <w:r>
        <w:rPr>
          <w:sz w:val="20"/>
          <w:szCs w:val="20"/>
          <w:color w:val="auto"/>
        </w:rPr>
        <w:tab/>
      </w:r>
      <w:r>
        <w:rPr>
          <w:rFonts w:ascii="Arial" w:cs="Arial" w:eastAsia="Arial" w:hAnsi="Arial"/>
          <w:sz w:val="12"/>
          <w:szCs w:val="12"/>
          <w:color w:val="auto"/>
        </w:rPr>
        <w:t>Seoul</w:t>
      </w:r>
    </w:p>
    <w:p>
      <w:pPr>
        <w:spacing w:after="0" w:line="49" w:lineRule="exact"/>
        <w:rPr>
          <w:sz w:val="20"/>
          <w:szCs w:val="20"/>
          <w:color w:val="auto"/>
        </w:rPr>
      </w:pPr>
    </w:p>
    <w:p>
      <w:pPr>
        <w:ind w:left="7220"/>
        <w:spacing w:after="0"/>
        <w:tabs>
          <w:tab w:leader="none" w:pos="8500" w:val="left"/>
        </w:tabs>
        <w:rPr>
          <w:sz w:val="20"/>
          <w:szCs w:val="20"/>
          <w:color w:val="auto"/>
        </w:rPr>
      </w:pPr>
      <w:r>
        <w:rPr>
          <w:rFonts w:ascii="Arial" w:cs="Arial" w:eastAsia="Arial" w:hAnsi="Arial"/>
          <w:sz w:val="12"/>
          <w:szCs w:val="12"/>
          <w:color w:val="auto"/>
        </w:rPr>
        <w:t>Hong Kong</w:t>
      </w:r>
      <w:r>
        <w:rPr>
          <w:sz w:val="20"/>
          <w:szCs w:val="20"/>
          <w:color w:val="auto"/>
        </w:rPr>
        <w:tab/>
      </w:r>
      <w:r>
        <w:rPr>
          <w:rFonts w:ascii="Arial" w:cs="Arial" w:eastAsia="Arial" w:hAnsi="Arial"/>
          <w:sz w:val="10"/>
          <w:szCs w:val="10"/>
          <w:color w:val="auto"/>
        </w:rPr>
        <w:t>Silicon Valley</w:t>
      </w:r>
    </w:p>
    <w:p>
      <w:pPr>
        <w:spacing w:after="0" w:line="49" w:lineRule="exact"/>
        <w:rPr>
          <w:sz w:val="20"/>
          <w:szCs w:val="20"/>
          <w:color w:val="auto"/>
        </w:rPr>
      </w:pPr>
    </w:p>
    <w:p>
      <w:pPr>
        <w:ind w:left="7220"/>
        <w:spacing w:after="0"/>
        <w:tabs>
          <w:tab w:leader="none" w:pos="8500" w:val="left"/>
        </w:tabs>
        <w:rPr>
          <w:sz w:val="20"/>
          <w:szCs w:val="20"/>
          <w:color w:val="auto"/>
        </w:rPr>
      </w:pPr>
      <w:r>
        <w:rPr>
          <w:rFonts w:ascii="Arial" w:cs="Arial" w:eastAsia="Arial" w:hAnsi="Arial"/>
          <w:sz w:val="12"/>
          <w:szCs w:val="12"/>
          <w:color w:val="auto"/>
        </w:rPr>
        <w:t>Houston</w:t>
      </w:r>
      <w:r>
        <w:rPr>
          <w:sz w:val="20"/>
          <w:szCs w:val="20"/>
          <w:color w:val="auto"/>
        </w:rPr>
        <w:tab/>
      </w:r>
      <w:r>
        <w:rPr>
          <w:rFonts w:ascii="Arial" w:cs="Arial" w:eastAsia="Arial" w:hAnsi="Arial"/>
          <w:sz w:val="12"/>
          <w:szCs w:val="12"/>
          <w:color w:val="auto"/>
        </w:rPr>
        <w:t>Singapore</w:t>
      </w:r>
    </w:p>
    <w:p>
      <w:pPr>
        <w:spacing w:after="0" w:line="49" w:lineRule="exact"/>
        <w:rPr>
          <w:sz w:val="20"/>
          <w:szCs w:val="20"/>
          <w:color w:val="auto"/>
        </w:rPr>
      </w:pPr>
    </w:p>
    <w:p>
      <w:pPr>
        <w:ind w:left="7220"/>
        <w:spacing w:after="0"/>
        <w:tabs>
          <w:tab w:leader="none" w:pos="8500" w:val="left"/>
        </w:tabs>
        <w:rPr>
          <w:sz w:val="20"/>
          <w:szCs w:val="20"/>
          <w:color w:val="auto"/>
        </w:rPr>
      </w:pPr>
      <w:r>
        <w:rPr>
          <w:rFonts w:ascii="Arial" w:cs="Arial" w:eastAsia="Arial" w:hAnsi="Arial"/>
          <w:sz w:val="12"/>
          <w:szCs w:val="12"/>
          <w:color w:val="auto"/>
        </w:rPr>
        <w:t>London</w:t>
      </w:r>
      <w:r>
        <w:rPr>
          <w:sz w:val="20"/>
          <w:szCs w:val="20"/>
          <w:color w:val="auto"/>
        </w:rPr>
        <w:tab/>
      </w:r>
      <w:r>
        <w:rPr>
          <w:rFonts w:ascii="Arial" w:cs="Arial" w:eastAsia="Arial" w:hAnsi="Arial"/>
          <w:sz w:val="12"/>
          <w:szCs w:val="12"/>
          <w:color w:val="auto"/>
        </w:rPr>
        <w:t>Tel Aviv</w:t>
      </w:r>
    </w:p>
    <w:p>
      <w:pPr>
        <w:spacing w:after="0" w:line="49" w:lineRule="exact"/>
        <w:rPr>
          <w:sz w:val="20"/>
          <w:szCs w:val="20"/>
          <w:color w:val="auto"/>
        </w:rPr>
      </w:pPr>
    </w:p>
    <w:p>
      <w:pPr>
        <w:ind w:left="7220"/>
        <w:spacing w:after="0"/>
        <w:tabs>
          <w:tab w:leader="none" w:pos="8500" w:val="left"/>
        </w:tabs>
        <w:rPr>
          <w:sz w:val="20"/>
          <w:szCs w:val="20"/>
          <w:color w:val="auto"/>
        </w:rPr>
      </w:pPr>
      <w:r>
        <w:rPr>
          <w:rFonts w:ascii="Arial" w:cs="Arial" w:eastAsia="Arial" w:hAnsi="Arial"/>
          <w:sz w:val="12"/>
          <w:szCs w:val="12"/>
          <w:color w:val="auto"/>
        </w:rPr>
        <w:t>Los Angeles</w:t>
      </w:r>
      <w:r>
        <w:rPr>
          <w:sz w:val="20"/>
          <w:szCs w:val="20"/>
          <w:color w:val="auto"/>
        </w:rPr>
        <w:tab/>
      </w:r>
      <w:r>
        <w:rPr>
          <w:rFonts w:ascii="Arial" w:cs="Arial" w:eastAsia="Arial" w:hAnsi="Arial"/>
          <w:sz w:val="10"/>
          <w:szCs w:val="10"/>
          <w:color w:val="auto"/>
        </w:rPr>
        <w:t>Tokyo</w:t>
      </w:r>
    </w:p>
    <w:p>
      <w:pPr>
        <w:spacing w:after="0" w:line="49" w:lineRule="exact"/>
        <w:rPr>
          <w:sz w:val="20"/>
          <w:szCs w:val="20"/>
          <w:color w:val="auto"/>
        </w:rPr>
      </w:pPr>
    </w:p>
    <w:p>
      <w:pPr>
        <w:ind w:left="7220"/>
        <w:spacing w:after="0"/>
        <w:tabs>
          <w:tab w:leader="none" w:pos="8500" w:val="left"/>
        </w:tabs>
        <w:rPr>
          <w:sz w:val="20"/>
          <w:szCs w:val="20"/>
          <w:color w:val="auto"/>
        </w:rPr>
      </w:pPr>
      <w:r>
        <w:rPr>
          <w:rFonts w:ascii="Arial" w:cs="Arial" w:eastAsia="Arial" w:hAnsi="Arial"/>
          <w:sz w:val="12"/>
          <w:szCs w:val="12"/>
          <w:color w:val="auto"/>
        </w:rPr>
        <w:t>Madrid</w:t>
      </w:r>
      <w:r>
        <w:rPr>
          <w:sz w:val="20"/>
          <w:szCs w:val="20"/>
          <w:color w:val="auto"/>
        </w:rPr>
        <w:tab/>
      </w:r>
      <w:r>
        <w:rPr>
          <w:rFonts w:ascii="Arial" w:cs="Arial" w:eastAsia="Arial" w:hAnsi="Arial"/>
          <w:sz w:val="12"/>
          <w:szCs w:val="12"/>
          <w:color w:val="auto"/>
        </w:rPr>
        <w:t>Washington, D.C.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May 14,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Cerebras Systems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1237 E. Arques Avenue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Sunnyvale, California 94085</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Re: </w:t>
      </w:r>
      <w:r>
        <w:rPr>
          <w:rFonts w:ascii="Times New Roman" w:cs="Times New Roman" w:eastAsia="Times New Roman" w:hAnsi="Times New Roman"/>
          <w:sz w:val="20"/>
          <w:szCs w:val="20"/>
          <w:u w:val="single" w:color="auto"/>
          <w:color w:val="auto"/>
        </w:rPr>
        <w:t>Registration Statement on Form S-8</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addressee set forth above:</w:t>
      </w:r>
    </w:p>
    <w:p>
      <w:pPr>
        <w:spacing w:after="0" w:line="200" w:lineRule="exact"/>
        <w:rPr>
          <w:sz w:val="20"/>
          <w:szCs w:val="20"/>
          <w:color w:val="auto"/>
        </w:rPr>
      </w:pPr>
    </w:p>
    <w:p>
      <w:pPr>
        <w:jc w:val="both"/>
        <w:ind w:firstLine="597"/>
        <w:spacing w:after="0" w:line="252" w:lineRule="auto"/>
        <w:rPr>
          <w:sz w:val="20"/>
          <w:szCs w:val="20"/>
          <w:color w:val="auto"/>
        </w:rPr>
      </w:pPr>
      <w:r>
        <w:rPr>
          <w:rFonts w:ascii="Times New Roman" w:cs="Times New Roman" w:eastAsia="Times New Roman" w:hAnsi="Times New Roman"/>
          <w:sz w:val="20"/>
          <w:szCs w:val="20"/>
          <w:color w:val="auto"/>
        </w:rPr>
        <w:t>We have acted as counsel to Cerebras Systems Inc., a Delaware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in connection with the preparation and filing by the Company on the date hereof with the Securities and Exchange Commission (the “</w:t>
      </w:r>
      <w:r>
        <w:rPr>
          <w:rFonts w:ascii="Times New Roman" w:cs="Times New Roman" w:eastAsia="Times New Roman" w:hAnsi="Times New Roman"/>
          <w:sz w:val="20"/>
          <w:szCs w:val="20"/>
          <w:b w:val="1"/>
          <w:bCs w:val="1"/>
          <w:i w:val="1"/>
          <w:iCs w:val="1"/>
          <w:color w:val="auto"/>
        </w:rPr>
        <w:t>Commission</w:t>
      </w:r>
      <w:r>
        <w:rPr>
          <w:rFonts w:ascii="Times New Roman" w:cs="Times New Roman" w:eastAsia="Times New Roman" w:hAnsi="Times New Roman"/>
          <w:sz w:val="20"/>
          <w:szCs w:val="20"/>
          <w:color w:val="auto"/>
        </w:rPr>
        <w:t>”) of a Registration Statement (the “</w:t>
      </w:r>
      <w:r>
        <w:rPr>
          <w:rFonts w:ascii="Times New Roman" w:cs="Times New Roman" w:eastAsia="Times New Roman" w:hAnsi="Times New Roman"/>
          <w:sz w:val="20"/>
          <w:szCs w:val="20"/>
          <w:b w:val="1"/>
          <w:bCs w:val="1"/>
          <w:i w:val="1"/>
          <w:iCs w:val="1"/>
          <w:color w:val="auto"/>
        </w:rPr>
        <w:t>Registration Statement</w:t>
      </w:r>
      <w:r>
        <w:rPr>
          <w:rFonts w:ascii="Times New Roman" w:cs="Times New Roman" w:eastAsia="Times New Roman" w:hAnsi="Times New Roman"/>
          <w:sz w:val="20"/>
          <w:szCs w:val="20"/>
          <w:color w:val="auto"/>
        </w:rPr>
        <w:t>”) on Form S-8 under the Securities Act of 1933, as amended (the “</w:t>
      </w:r>
      <w:r>
        <w:rPr>
          <w:rFonts w:ascii="Times New Roman" w:cs="Times New Roman" w:eastAsia="Times New Roman" w:hAnsi="Times New Roman"/>
          <w:sz w:val="20"/>
          <w:szCs w:val="20"/>
          <w:b w:val="1"/>
          <w:bCs w:val="1"/>
          <w:i w:val="1"/>
          <w:iCs w:val="1"/>
          <w:color w:val="auto"/>
        </w:rPr>
        <w:t>Act</w:t>
      </w:r>
      <w:r>
        <w:rPr>
          <w:rFonts w:ascii="Times New Roman" w:cs="Times New Roman" w:eastAsia="Times New Roman" w:hAnsi="Times New Roman"/>
          <w:sz w:val="20"/>
          <w:szCs w:val="20"/>
          <w:color w:val="auto"/>
        </w:rPr>
        <w:t>”), relating to the issuance of (i) up to 102,335,729 shares of Class A common stock, $0.00001 par value per share of the Company (the “</w:t>
      </w:r>
      <w:r>
        <w:rPr>
          <w:rFonts w:ascii="Times New Roman" w:cs="Times New Roman" w:eastAsia="Times New Roman" w:hAnsi="Times New Roman"/>
          <w:sz w:val="20"/>
          <w:szCs w:val="20"/>
          <w:b w:val="1"/>
          <w:bCs w:val="1"/>
          <w:i w:val="1"/>
          <w:iCs w:val="1"/>
          <w:color w:val="auto"/>
        </w:rPr>
        <w:t>Class A Shares</w:t>
      </w:r>
      <w:r>
        <w:rPr>
          <w:rFonts w:ascii="Times New Roman" w:cs="Times New Roman" w:eastAsia="Times New Roman" w:hAnsi="Times New Roman"/>
          <w:sz w:val="20"/>
          <w:szCs w:val="20"/>
          <w:color w:val="auto"/>
        </w:rPr>
        <w:t>”), and (ii) up to 53,882,184 shares of Class B common stock, $0.00001 par value per share of the Company (the “</w:t>
      </w:r>
      <w:r>
        <w:rPr>
          <w:rFonts w:ascii="Times New Roman" w:cs="Times New Roman" w:eastAsia="Times New Roman" w:hAnsi="Times New Roman"/>
          <w:sz w:val="20"/>
          <w:szCs w:val="20"/>
          <w:b w:val="1"/>
          <w:bCs w:val="1"/>
          <w:i w:val="1"/>
          <w:iCs w:val="1"/>
          <w:color w:val="auto"/>
        </w:rPr>
        <w:t>Class B Shares</w:t>
      </w:r>
      <w:r>
        <w:rPr>
          <w:rFonts w:ascii="Times New Roman" w:cs="Times New Roman" w:eastAsia="Times New Roman" w:hAnsi="Times New Roman"/>
          <w:sz w:val="20"/>
          <w:szCs w:val="20"/>
          <w:color w:val="auto"/>
        </w:rPr>
        <w:t>” and, together with the Class A Shares, the “</w:t>
      </w:r>
      <w:r>
        <w:rPr>
          <w:rFonts w:ascii="Times New Roman" w:cs="Times New Roman" w:eastAsia="Times New Roman" w:hAnsi="Times New Roman"/>
          <w:sz w:val="20"/>
          <w:szCs w:val="20"/>
          <w:b w:val="1"/>
          <w:bCs w:val="1"/>
          <w:i w:val="1"/>
          <w:iCs w:val="1"/>
          <w:color w:val="auto"/>
        </w:rPr>
        <w:t>Shares</w:t>
      </w:r>
      <w:r>
        <w:rPr>
          <w:rFonts w:ascii="Times New Roman" w:cs="Times New Roman" w:eastAsia="Times New Roman" w:hAnsi="Times New Roman"/>
          <w:sz w:val="20"/>
          <w:szCs w:val="20"/>
          <w:color w:val="auto"/>
        </w:rPr>
        <w:t>”), which may be issued pursuant to the Company’s 2016 Equity Incentive Plan (the “</w:t>
      </w:r>
      <w:r>
        <w:rPr>
          <w:rFonts w:ascii="Times New Roman" w:cs="Times New Roman" w:eastAsia="Times New Roman" w:hAnsi="Times New Roman"/>
          <w:sz w:val="20"/>
          <w:szCs w:val="20"/>
          <w:b w:val="1"/>
          <w:bCs w:val="1"/>
          <w:i w:val="1"/>
          <w:iCs w:val="1"/>
          <w:color w:val="auto"/>
        </w:rPr>
        <w:t>2016 Plan</w:t>
      </w:r>
      <w:r>
        <w:rPr>
          <w:rFonts w:ascii="Times New Roman" w:cs="Times New Roman" w:eastAsia="Times New Roman" w:hAnsi="Times New Roman"/>
          <w:sz w:val="20"/>
          <w:szCs w:val="20"/>
          <w:color w:val="auto"/>
        </w:rPr>
        <w:t>”), the Company’s 2026 Incentive Award Plan (the “</w:t>
      </w:r>
      <w:r>
        <w:rPr>
          <w:rFonts w:ascii="Times New Roman" w:cs="Times New Roman" w:eastAsia="Times New Roman" w:hAnsi="Times New Roman"/>
          <w:sz w:val="20"/>
          <w:szCs w:val="20"/>
          <w:b w:val="1"/>
          <w:bCs w:val="1"/>
          <w:i w:val="1"/>
          <w:iCs w:val="1"/>
          <w:color w:val="auto"/>
        </w:rPr>
        <w:t>2026 Plan</w:t>
      </w:r>
      <w:r>
        <w:rPr>
          <w:rFonts w:ascii="Times New Roman" w:cs="Times New Roman" w:eastAsia="Times New Roman" w:hAnsi="Times New Roman"/>
          <w:sz w:val="20"/>
          <w:szCs w:val="20"/>
          <w:color w:val="auto"/>
        </w:rPr>
        <w:t>”), and the Company’s 2026 Employee Stock Purchase Plan (the “</w:t>
      </w:r>
      <w:r>
        <w:rPr>
          <w:rFonts w:ascii="Times New Roman" w:cs="Times New Roman" w:eastAsia="Times New Roman" w:hAnsi="Times New Roman"/>
          <w:sz w:val="20"/>
          <w:szCs w:val="20"/>
          <w:b w:val="1"/>
          <w:bCs w:val="1"/>
          <w:i w:val="1"/>
          <w:iCs w:val="1"/>
          <w:color w:val="auto"/>
        </w:rPr>
        <w:t>ESPP</w:t>
      </w:r>
      <w:r>
        <w:rPr>
          <w:rFonts w:ascii="Times New Roman" w:cs="Times New Roman" w:eastAsia="Times New Roman" w:hAnsi="Times New Roman"/>
          <w:sz w:val="20"/>
          <w:szCs w:val="20"/>
          <w:color w:val="auto"/>
        </w:rPr>
        <w:t>” and, together with the 2016 Plan and the 2026 Plan, the “</w:t>
      </w:r>
      <w:r>
        <w:rPr>
          <w:rFonts w:ascii="Times New Roman" w:cs="Times New Roman" w:eastAsia="Times New Roman" w:hAnsi="Times New Roman"/>
          <w:sz w:val="20"/>
          <w:szCs w:val="20"/>
          <w:b w:val="1"/>
          <w:bCs w:val="1"/>
          <w:i w:val="1"/>
          <w:iCs w:val="1"/>
          <w:color w:val="auto"/>
        </w:rPr>
        <w:t>Plans</w:t>
      </w:r>
      <w:r>
        <w:rPr>
          <w:rFonts w:ascii="Times New Roman" w:cs="Times New Roman" w:eastAsia="Times New Roman" w:hAnsi="Times New Roman"/>
          <w:sz w:val="20"/>
          <w:szCs w:val="20"/>
          <w:color w:val="auto"/>
        </w:rPr>
        <w:t>”). This opinion is being furnished in connection with the requirements of Item 601(b)(5) of Regulation S-K under the Act, and no opinion is expressed herein as to any matter pertaining to the contents of the Registration Statement or related prospectus, other than as expressly stated herein with respect to the issue of the Shares.</w:t>
      </w:r>
    </w:p>
    <w:p>
      <w:pPr>
        <w:spacing w:after="0" w:line="179" w:lineRule="exact"/>
        <w:rPr>
          <w:sz w:val="20"/>
          <w:szCs w:val="20"/>
          <w:color w:val="auto"/>
        </w:rPr>
      </w:pPr>
    </w:p>
    <w:p>
      <w:pPr>
        <w:jc w:val="both"/>
        <w:ind w:firstLine="597"/>
        <w:spacing w:after="0" w:line="256" w:lineRule="auto"/>
        <w:rPr>
          <w:sz w:val="20"/>
          <w:szCs w:val="20"/>
          <w:color w:val="auto"/>
        </w:rPr>
      </w:pPr>
      <w:r>
        <w:rPr>
          <w:rFonts w:ascii="Times New Roman" w:cs="Times New Roman" w:eastAsia="Times New Roman" w:hAnsi="Times New Roman"/>
          <w:sz w:val="20"/>
          <w:szCs w:val="20"/>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(the “</w:t>
      </w:r>
      <w:r>
        <w:rPr>
          <w:rFonts w:ascii="Times New Roman" w:cs="Times New Roman" w:eastAsia="Times New Roman" w:hAnsi="Times New Roman"/>
          <w:sz w:val="20"/>
          <w:szCs w:val="20"/>
          <w:b w:val="1"/>
          <w:bCs w:val="1"/>
          <w:i w:val="1"/>
          <w:iCs w:val="1"/>
          <w:color w:val="auto"/>
        </w:rPr>
        <w:t>DGCL</w:t>
      </w:r>
      <w:r>
        <w:rPr>
          <w:rFonts w:ascii="Times New Roman" w:cs="Times New Roman" w:eastAsia="Times New Roman" w:hAnsi="Times New Roman"/>
          <w:sz w:val="20"/>
          <w:szCs w:val="20"/>
          <w:color w:val="auto"/>
        </w:rPr>
        <w:t>”), and we express no opinion with respect to any other laws.</w:t>
      </w:r>
    </w:p>
    <w:p>
      <w:pPr>
        <w:spacing w:after="0" w:line="164" w:lineRule="exact"/>
        <w:rPr>
          <w:sz w:val="20"/>
          <w:szCs w:val="20"/>
          <w:color w:val="auto"/>
        </w:rPr>
      </w:pPr>
    </w:p>
    <w:p>
      <w:pPr>
        <w:jc w:val="both"/>
        <w:ind w:firstLine="597"/>
        <w:spacing w:after="0" w:line="290" w:lineRule="auto"/>
        <w:rPr>
          <w:sz w:val="20"/>
          <w:szCs w:val="20"/>
          <w:color w:val="auto"/>
        </w:rPr>
      </w:pPr>
      <w:r>
        <w:rPr>
          <w:rFonts w:ascii="Times New Roman" w:cs="Times New Roman" w:eastAsia="Times New Roman" w:hAnsi="Times New Roman"/>
          <w:sz w:val="20"/>
          <w:szCs w:val="20"/>
          <w:color w:val="auto"/>
        </w:rPr>
        <w:t>Subject to the foregoing and the other matters set forth herein, it is our opinion that as of the date hereof, when the Shares shall have been duly registered on the books of the transfer</w:t>
      </w:r>
    </w:p>
    <w:p>
      <w:pPr>
        <w:sectPr>
          <w:pgSz w:w="11900" w:h="16838" w:orient="portrait"/>
          <w:cols w:equalWidth="0" w:num="1">
            <w:col w:w="11240"/>
          </w:cols>
          <w:pgMar w:left="320" w:top="119" w:right="339" w:bottom="1440" w:gutter="0" w:footer="0" w:header="0"/>
        </w:sectPr>
      </w:pPr>
    </w:p>
    <w:bookmarkStart w:id="16" w:name="page17"/>
    <w:bookmarkEnd w:id="16"/>
    <w:p>
      <w:pPr>
        <w:spacing w:after="0"/>
        <w:rPr>
          <w:sz w:val="20"/>
          <w:szCs w:val="20"/>
          <w:color w:val="auto"/>
        </w:rPr>
      </w:pPr>
      <w:r>
        <w:rPr>
          <w:rFonts w:ascii="Arial" w:cs="Arial" w:eastAsia="Arial" w:hAnsi="Arial"/>
          <w:sz w:val="12"/>
          <w:szCs w:val="12"/>
          <w:b w:val="1"/>
          <w:bCs w:val="1"/>
          <w:color w:val="auto"/>
        </w:rPr>
        <w:t>May 14, 2026</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128905</wp:posOffset>
            </wp:positionV>
            <wp:extent cx="1280160" cy="787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7">
                      <a:extLst>
                        <a:ext uri="{28A0092B-C50C-407E-A947-70E740481C1C}"/>
                      </a:extLst>
                    </a:blip>
                    <a:srcRect/>
                    <a:stretch>
                      <a:fillRect/>
                    </a:stretch>
                  </pic:blipFill>
                  <pic:spPr bwMode="auto">
                    <a:xfrm>
                      <a:off x="0" y="0"/>
                      <a:ext cx="1280160" cy="78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agent and registrar therefor in the name or on behalf of the purchasers, and have been issued by the Company for legal consideration of not less than par value in the circumstances contemplated by the applicable Plan, assuming in each case that the individual issuances, grants, or awards under the applicable Plan are duly authorized by all necessary corporate action and duly issued, granted, or awarded and exercised in accordance with the requirements of law and the applicable Plan (and the agreements duly adopted thereunder and in accordance therewith), the issue and sale of the Shares will have been duly authorized by all necessary corporate action of the Company, and the Shares will be validly issued, fully paid, and nonassessable. In rendering the foregoing opinion, we have assumed that the Company will comply with all applicable notice requirements regarding uncertificated shares provided in the DGCL.</w:t>
      </w:r>
    </w:p>
    <w:p>
      <w:pPr>
        <w:spacing w:after="0" w:line="163" w:lineRule="exact"/>
        <w:rPr>
          <w:sz w:val="20"/>
          <w:szCs w:val="20"/>
          <w:color w:val="auto"/>
        </w:rPr>
      </w:pPr>
    </w:p>
    <w:p>
      <w:pPr>
        <w:jc w:val="both"/>
        <w:ind w:firstLine="597"/>
        <w:spacing w:after="0" w:line="261" w:lineRule="auto"/>
        <w:rPr>
          <w:sz w:val="20"/>
          <w:szCs w:val="20"/>
          <w:color w:val="auto"/>
        </w:rPr>
      </w:pPr>
      <w:r>
        <w:rPr>
          <w:rFonts w:ascii="Times New Roman" w:cs="Times New Roman" w:eastAsia="Times New Roman" w:hAnsi="Times New Roman"/>
          <w:sz w:val="20"/>
          <w:szCs w:val="20"/>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In giving such consent, we do not thereby admit that we are in the category of persons whose consent is required under Section 7 of the Act or the rules and regulations of the Commission thereunder.</w:t>
      </w:r>
    </w:p>
    <w:p>
      <w:pPr>
        <w:spacing w:after="0" w:line="20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Sincerely,</w:t>
      </w:r>
    </w:p>
    <w:p>
      <w:pPr>
        <w:spacing w:after="0" w:line="200" w:lineRule="exact"/>
        <w:rPr>
          <w:sz w:val="20"/>
          <w:szCs w:val="20"/>
          <w:color w:val="auto"/>
        </w:rPr>
      </w:pPr>
    </w:p>
    <w:p>
      <w:pPr>
        <w:spacing w:after="0" w:line="25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0"/>
          <w:szCs w:val="20"/>
          <w:color w:val="auto"/>
        </w:rPr>
        <w:t>/s/ Latham &amp; Watkins LLP</w:t>
      </w:r>
    </w:p>
    <w:p>
      <w:pPr>
        <w:sectPr>
          <w:pgSz w:w="11900" w:h="16838" w:orient="portrait"/>
          <w:cols w:equalWidth="0" w:num="1">
            <w:col w:w="11240"/>
          </w:cols>
          <w:pgMar w:left="320" w:top="124" w:right="33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7"/>
          <w:szCs w:val="17"/>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960"/>
        <w:spacing w:after="0"/>
        <w:rPr>
          <w:sz w:val="20"/>
          <w:szCs w:val="20"/>
          <w:color w:val="auto"/>
        </w:rPr>
      </w:pPr>
      <w:r>
        <w:rPr>
          <w:rFonts w:ascii="Arial" w:cs="Arial" w:eastAsia="Arial" w:hAnsi="Arial"/>
          <w:sz w:val="17"/>
          <w:szCs w:val="17"/>
          <w:u w:val="single" w:color="auto"/>
          <w:color w:val="auto"/>
        </w:rPr>
        <w:t>Consent of Independent Registered Public Accounting Firm</w:t>
      </w:r>
    </w:p>
    <w:p>
      <w:pPr>
        <w:spacing w:after="0" w:line="200" w:lineRule="exact"/>
        <w:rPr>
          <w:sz w:val="20"/>
          <w:szCs w:val="20"/>
          <w:color w:val="auto"/>
        </w:rPr>
      </w:pPr>
    </w:p>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hereby consent to the incorporation by reference in this Registration Statement on Form S-8 of our report dated September 18, 2025, relating to the consolidated financial statements of Cerebras Systems Inc. (the Company), which is included in the Company’s Registration Statement on Form S-1 (No. 333-295145).</w:t>
      </w:r>
    </w:p>
    <w:p>
      <w:pPr>
        <w:spacing w:after="0" w:line="353" w:lineRule="exact"/>
        <w:rPr>
          <w:sz w:val="20"/>
          <w:szCs w:val="20"/>
          <w:color w:val="auto"/>
        </w:rPr>
      </w:pPr>
    </w:p>
    <w:p>
      <w:pPr>
        <w:spacing w:after="0"/>
        <w:rPr>
          <w:sz w:val="20"/>
          <w:szCs w:val="20"/>
          <w:color w:val="auto"/>
        </w:rPr>
      </w:pPr>
      <w:r>
        <w:rPr>
          <w:rFonts w:ascii="Arial" w:cs="Arial" w:eastAsia="Arial" w:hAnsi="Arial"/>
          <w:sz w:val="17"/>
          <w:szCs w:val="17"/>
          <w:color w:val="auto"/>
        </w:rPr>
        <w:t>/s/ BDO USA, P.C.</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San Jose, California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May 14, 2026</w:t>
      </w:r>
    </w:p>
    <w:p>
      <w:pPr>
        <w:sectPr>
          <w:pgSz w:w="11900" w:h="16838" w:orient="portrait"/>
          <w:cols w:equalWidth="0" w:num="1">
            <w:col w:w="11240"/>
          </w:cols>
          <w:pgMar w:left="320" w:top="119" w:right="33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17"/>
          <w:szCs w:val="17"/>
          <w:b w:val="1"/>
          <w:bCs w:val="1"/>
          <w:color w:val="auto"/>
        </w:rPr>
        <w:t>Exhibit 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70485</wp:posOffset>
            </wp:positionV>
            <wp:extent cx="758825" cy="3003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8">
                      <a:extLst>
                        <a:ext uri="{28A0092B-C50C-407E-A947-70E740481C1C}"/>
                      </a:extLst>
                    </a:blip>
                    <a:srcRect/>
                    <a:stretch>
                      <a:fillRect/>
                    </a:stretch>
                  </pic:blipFill>
                  <pic:spPr bwMode="auto">
                    <a:xfrm>
                      <a:off x="0" y="0"/>
                      <a:ext cx="75882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7"/>
          <w:szCs w:val="17"/>
          <w:color w:val="auto"/>
        </w:rPr>
        <w:t>KPMG LLP</w:t>
      </w:r>
    </w:p>
    <w:p>
      <w:pPr>
        <w:spacing w:after="0" w:line="4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7"/>
          <w:szCs w:val="17"/>
          <w:color w:val="auto"/>
        </w:rPr>
        <w:t>2755 Augustine Drive</w:t>
      </w:r>
    </w:p>
    <w:p>
      <w:pPr>
        <w:spacing w:after="0" w:line="28"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7"/>
          <w:szCs w:val="17"/>
          <w:color w:val="auto"/>
        </w:rPr>
        <w:t>Suite 701</w:t>
      </w:r>
    </w:p>
    <w:p>
      <w:pPr>
        <w:spacing w:after="0" w:line="4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7"/>
          <w:szCs w:val="17"/>
          <w:color w:val="auto"/>
        </w:rPr>
        <w:t>Santa Clara, CA 95054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393" w:lineRule="exact"/>
        <w:rPr>
          <w:sz w:val="20"/>
          <w:szCs w:val="20"/>
          <w:color w:val="auto"/>
        </w:rPr>
      </w:pPr>
    </w:p>
    <w:p>
      <w:pPr>
        <w:ind w:right="600"/>
        <w:spacing w:after="0" w:line="239" w:lineRule="auto"/>
        <w:rPr>
          <w:sz w:val="20"/>
          <w:szCs w:val="20"/>
          <w:color w:val="auto"/>
        </w:rPr>
      </w:pPr>
      <w:r>
        <w:rPr>
          <w:rFonts w:ascii="Times New Roman" w:cs="Times New Roman" w:eastAsia="Times New Roman" w:hAnsi="Times New Roman"/>
          <w:sz w:val="17"/>
          <w:szCs w:val="17"/>
          <w:color w:val="auto"/>
        </w:rPr>
        <w:t>We consent to the use of our report dated March 31, 2026, with respect to the consolidated financial statements of Cerebras Systems Inc., incorporated herein by reference.</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KPMG LLP</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Santa Clara, California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14,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180"/>
        <w:spacing w:after="0"/>
        <w:tabs>
          <w:tab w:leader="none" w:pos="6620" w:val="left"/>
        </w:tabs>
        <w:rPr>
          <w:sz w:val="20"/>
          <w:szCs w:val="20"/>
          <w:color w:val="auto"/>
        </w:rPr>
      </w:pPr>
      <w:r>
        <w:rPr>
          <w:rFonts w:ascii="Arial" w:cs="Arial" w:eastAsia="Arial" w:hAnsi="Arial"/>
          <w:sz w:val="9"/>
          <w:szCs w:val="9"/>
          <w:color w:val="auto"/>
        </w:rPr>
        <w:t>KPMG LLP, a Delaware limited liability partnership, and its subsidiaries are part of</w:t>
        <w:tab/>
        <w:t>the KPMG global organization of</w:t>
      </w:r>
    </w:p>
    <w:p>
      <w:pPr>
        <w:spacing w:after="0" w:line="21" w:lineRule="exact"/>
        <w:rPr>
          <w:sz w:val="20"/>
          <w:szCs w:val="20"/>
          <w:color w:val="auto"/>
        </w:rPr>
      </w:pPr>
    </w:p>
    <w:p>
      <w:pPr>
        <w:ind w:left="3180"/>
        <w:spacing w:after="0"/>
        <w:tabs>
          <w:tab w:leader="none" w:pos="5180" w:val="left"/>
        </w:tabs>
        <w:rPr>
          <w:sz w:val="20"/>
          <w:szCs w:val="20"/>
          <w:color w:val="auto"/>
        </w:rPr>
      </w:pPr>
      <w:r>
        <w:rPr>
          <w:rFonts w:ascii="Arial" w:cs="Arial" w:eastAsia="Arial" w:hAnsi="Arial"/>
          <w:sz w:val="9"/>
          <w:szCs w:val="9"/>
          <w:color w:val="auto"/>
        </w:rPr>
        <w:t>independent member firms affiliated with KPMG</w:t>
        <w:tab/>
        <w:t>International Limited, a private English company limited by guarantee.</w:t>
      </w:r>
    </w:p>
    <w:sectPr>
      <w:pgSz w:w="11900" w:h="16838" w:orient="portrait"/>
      <w:cols w:equalWidth="0" w:num="1">
        <w:col w:w="11240"/>
      </w:cols>
      <w:pgMar w:left="320" w:top="1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lowerLetter"/>
      <w:start w:val="1"/>
    </w:lvl>
  </w:abstractNum>
  <w:abstractNum w:abstractNumId="1">
    <w:nsid w:val="79E2A9E3"/>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
    <w:nsid w:val="7545E146"/>
    <w:multiLevelType w:val="hybridMultilevel"/>
    <w:lvl w:ilvl="0">
      <w:lvlJc w:val="left"/>
      <w:lvlText w:val="%1"/>
      <w:numFmt w:val="lowerLetter"/>
      <w:start w:val="1"/>
    </w:lvl>
    <w:lvl w:ilvl="1">
      <w:lvlJc w:val="left"/>
      <w:lvlText w:val="(%2)"/>
      <w:numFmt w:val="decimal"/>
      <w:start w:val="2"/>
    </w:lvl>
  </w:abstractNum>
  <w:abstractNum w:abstractNumId="3">
    <w:nsid w:val="515F007C"/>
    <w:multiLevelType w:val="hybridMultilevel"/>
    <w:lvl w:ilvl="0">
      <w:lvlJc w:val="left"/>
      <w:lvlText w:val="(%1)"/>
      <w:numFmt w:val="lowerLetter"/>
      <w:start w:val="2"/>
    </w:lvl>
    <w:lvl w:ilvl="1">
      <w:lvlJc w:val="left"/>
      <w:lvlText w:val="%2"/>
      <w:numFmt w:val="decimal"/>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1)"/>
      <w:numFmt w:val="lowerLetter"/>
      <w:start w:val="1"/>
    </w:lvl>
  </w:abstractNum>
  <w:abstractNum w:abstractNumId="6">
    <w:nsid w:val="4DB127F8"/>
    <w:multiLevelType w:val="hybridMultilevel"/>
    <w:lvl w:ilvl="0">
      <w:lvlJc w:val="left"/>
      <w:lvlText w:val="(%1)"/>
      <w:numFmt w:val="lowerLetter"/>
      <w:start w:val="3"/>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24" Type="http://schemas.openxmlformats.org/officeDocument/2006/relationships/image" Target="media/image3.png"/><Relationship Id="rId25" Type="http://schemas.openxmlformats.org/officeDocument/2006/relationships/image" Target="media/image4.png"/><Relationship Id="rId26" Type="http://schemas.openxmlformats.org/officeDocument/2006/relationships/image" Target="media/image5.png"/><Relationship Id="rId27" Type="http://schemas.openxmlformats.org/officeDocument/2006/relationships/image" Target="media/image6.png"/><Relationship Id="rId28" Type="http://schemas.openxmlformats.org/officeDocument/2006/relationships/image" Target="media/image7.png"/><Relationship Id="rId29" Type="http://schemas.openxmlformats.org/officeDocument/2006/relationships/image" Target="media/image8.png"/><Relationship Id="rId30" Type="http://schemas.openxmlformats.org/officeDocument/2006/relationships/image" Target="media/image9.png"/><Relationship Id="rId31" Type="http://schemas.openxmlformats.org/officeDocument/2006/relationships/image" Target="media/image10.png"/><Relationship Id="rId32" Type="http://schemas.openxmlformats.org/officeDocument/2006/relationships/image" Target="media/image11.png"/><Relationship Id="rId33" Type="http://schemas.openxmlformats.org/officeDocument/2006/relationships/image" Target="media/image12.png"/><Relationship Id="rId34" Type="http://schemas.openxmlformats.org/officeDocument/2006/relationships/image" Target="media/image13.png"/><Relationship Id="rId35" Type="http://schemas.openxmlformats.org/officeDocument/2006/relationships/image" Target="media/image14.png"/><Relationship Id="rId36" Type="http://schemas.openxmlformats.org/officeDocument/2006/relationships/image" Target="media/image15.png"/><Relationship Id="rId37" Type="http://schemas.openxmlformats.org/officeDocument/2006/relationships/image" Target="media/image16.png"/><Relationship Id="rId38" Type="http://schemas.openxmlformats.org/officeDocument/2006/relationships/image" Target="media/image17.png"/><Relationship Id="rId39" Type="http://schemas.openxmlformats.org/officeDocument/2006/relationships/image" Target="media/image18.png"/><Relationship Id="rId40" Type="http://schemas.openxmlformats.org/officeDocument/2006/relationships/image" Target="media/image19.png"/><Relationship Id="rId41" Type="http://schemas.openxmlformats.org/officeDocument/2006/relationships/image" Target="media/image20.png"/><Relationship Id="rId42" Type="http://schemas.openxmlformats.org/officeDocument/2006/relationships/image" Target="media/image21.png"/><Relationship Id="rId43" Type="http://schemas.openxmlformats.org/officeDocument/2006/relationships/image" Target="media/image22.png"/><Relationship Id="rId44" Type="http://schemas.openxmlformats.org/officeDocument/2006/relationships/image" Target="media/image23.jpeg"/><Relationship Id="rId45" Type="http://schemas.openxmlformats.org/officeDocument/2006/relationships/image" Target="media/image24.jpeg"/><Relationship Id="rId46" Type="http://schemas.openxmlformats.org/officeDocument/2006/relationships/image" Target="media/image25.jpeg"/><Relationship Id="rId47" Type="http://schemas.openxmlformats.org/officeDocument/2006/relationships/image" Target="media/image26.jpeg"/><Relationship Id="rId48" Type="http://schemas.openxmlformats.org/officeDocument/2006/relationships/image" Target="media/image27.jpeg"/><Relationship Id="rId10" Type="http://schemas.openxmlformats.org/officeDocument/2006/relationships/hyperlink" Target="https://www.sec.gov/Archives/edgar/data/2021728/000162828026033143/cerebras-sx1a2.htm" TargetMode="External"/><Relationship Id="rId11" Type="http://schemas.openxmlformats.org/officeDocument/2006/relationships/hyperlink" Target="https://www.sec.gov/Archives/edgar/data/2021728/000162828026033418/cerebras-form8xa.htm" TargetMode="External"/><Relationship Id="rId12" Type="http://schemas.openxmlformats.org/officeDocument/2006/relationships/hyperlink" Target="https://www.sec.gov/Archives/edgar/data/2021728/000162828026025762/exhibit31-sx1.htm" TargetMode="External"/><Relationship Id="rId13" Type="http://schemas.openxmlformats.org/officeDocument/2006/relationships/hyperlink" Target="https://www.sec.gov/Archives/edgar/data/2021728/000162828026025762/exhibit-32xsx1.htm" TargetMode="External"/><Relationship Id="rId14" Type="http://schemas.openxmlformats.org/officeDocument/2006/relationships/hyperlink" Target="https://www.sec.gov/Archives/edgar/data/2021728/000162828026025762/exhibit33-sx1.htm" TargetMode="External"/><Relationship Id="rId15" Type="http://schemas.openxmlformats.org/officeDocument/2006/relationships/hyperlink" Target="https://www.sec.gov/Archives/edgar/data/2021728/000162828026025762/exhibit34-sx1.htm" TargetMode="External"/><Relationship Id="rId16" Type="http://schemas.openxmlformats.org/officeDocument/2006/relationships/hyperlink" Target="https://www.sec.gov/Archives/edgar/data/2021728/000162828026025762/exhibit42-sx1.htm" TargetMode="External"/><Relationship Id="rId17" Type="http://schemas.openxmlformats.org/officeDocument/2006/relationships/hyperlink" Target="https://www.sec.gov/Archives/edgar/data/2021728/000162828026025762/exhibit102a-sx1.htm" TargetMode="External"/><Relationship Id="rId18" Type="http://schemas.openxmlformats.org/officeDocument/2006/relationships/hyperlink" Target="https://www.sec.gov/Archives/edgar/data/2021728/000162828026025762/exhibit102b-sx1.htm" TargetMode="External"/><Relationship Id="rId19" Type="http://schemas.openxmlformats.org/officeDocument/2006/relationships/hyperlink" Target="https://www.sec.gov/Archives/edgar/data/2021728/000162828026025762/exhibit102c-sx1.htm" TargetMode="External"/><Relationship Id="rId20" Type="http://schemas.openxmlformats.org/officeDocument/2006/relationships/hyperlink" Target="https://www.sec.gov/Archives/edgar/data/2021728/000162828026033143/exhibit103a-sx1a2.htm" TargetMode="External"/><Relationship Id="rId21" Type="http://schemas.openxmlformats.org/officeDocument/2006/relationships/hyperlink" Target="https://www.sec.gov/Archives/edgar/data/2021728/000162828026025762/exhibit103b-sx1.htm" TargetMode="External"/><Relationship Id="rId22" Type="http://schemas.openxmlformats.org/officeDocument/2006/relationships/hyperlink" Target="https://www.sec.gov/Archives/edgar/data/2021728/000162828026025762/exhibit103c-sx1.htm" TargetMode="External"/><Relationship Id="rId23" Type="http://schemas.openxmlformats.org/officeDocument/2006/relationships/hyperlink" Target="https://www.sec.gov/Archives/edgar/data/2021728/000162828026033143/exhibit104-sx1a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2026-05-14T06:47:59Z</dcterms:created>
  <dcterms:modified xsi:type="dcterms:W3CDTF">2026-05-14T06:47:59Z</dcterms:modified>
</cp:coreProperties>
</file>