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Cerebras Systems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Class A Common Stock, par value $0.00001 per share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2"/>
        <w:gridCol w:w="7913"/>
      </w:tblGrid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Andrew Feldman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UNITED STATES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10,347,232.00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50,000.00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10,347,232.00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50,000.00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10,397,232.00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9.2 %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59"/>
        <w:gridCol w:w="8891"/>
        <w:gridCol w:w="155"/>
      </w:tblGrid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Cerebras Systems Inc.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1237 E. Arques Avenue , Sunnyvale , CA ,94085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This statement is filed on behalf of Andrew Feldman (the "Reporting Person").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principal business address of the Reporting Person is c/o Cerebras Systems Inc., 1237 E. Arques Avenue, Sunnyvale, CA, 94085.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Reporting Person is a citizen of the United States.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Class A Common Stock, par value $0.00001 per share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4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ownership information presented herein represents beneficial ownership of the shares of Class A Common Stock as of June 30, 2026, based upon 103,220,568 shares of Class A Common Stock outstanding as of June 30, 2026, as provided by the Issuer. The ownership information assumes the respective conversion of the Class B common stock, par value $0.00001 per share ("Class B Common Stock") of the Issuer, and the vesting of restricted stock units and exercise of stock options disclosed below, each into shares of Class A Common Stock of the Issuer on a one-to-one basis. The Reporting Person is the beneficial owner of 10,397,232 shares of Class A Common Stock, which consist of: (i) 268 shares of Class A Common Stock held directly by the Feldman Bravo Family Trust, of which the Reporting Person serves as trustee; (ii) 7,403,467 shares of Class A Common Stock underlying shares of Class B Common Stock held of record by the Reporting Person, (iii) 50,000 shares of Class A Common Stock underlying shares of Class B Common Stock held in a grantor retained annuity trust of which the Reporting Person is trustee; (iv) 50,000 shares of Class A Common Stock underlying shares of Class B Common Stock held in a grantor retained annuity trust of which the Reporting Person's spouse is trustee; (v) 2,850,000 shares of Class A Common Stock underlying stock options that are currently vested or will vest within 60 days of June 30, 2026; and (vi) 43,497 shares of Class A Common Stock underlying restricted stock units that will vest within 60 days of June 30, 2026.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9.2%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10,347,232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50,000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10,347,232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50,000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39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67"/>
        <w:gridCol w:w="1967"/>
      </w:tblGrid>
      <w:tr>
        <w:trPr/>
        <w:tc>
          <w:tcPr>
            <w:tcW w:w="196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83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31"/>
            </w:tblGrid>
            <w:tr>
              <w:trPr/>
              <w:tc>
                <w:tcPr>
                  <w:tcW w:w="18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Andrew Feldman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16"/>
        <w:gridCol w:w="4389"/>
      </w:tblGrid>
      <w:tr>
        <w:trPr/>
        <w:tc>
          <w:tcPr>
            <w:tcW w:w="581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7"/>
              <w:gridCol w:w="9038"/>
            </w:tblGrid>
            <w:tr>
              <w:trPr/>
              <w:tc>
                <w:tcPr>
                  <w:tcW w:w="116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3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Andrew Feldman</w:t>
                  </w:r>
                </w:p>
              </w:tc>
            </w:tr>
            <w:tr>
              <w:trPr/>
              <w:tc>
                <w:tcPr>
                  <w:tcW w:w="116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3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Andrew Feldman</w:t>
                  </w:r>
                </w:p>
              </w:tc>
            </w:tr>
            <w:tr>
              <w:trPr/>
              <w:tc>
                <w:tcPr>
                  <w:tcW w:w="116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3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08/14/2026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933</Words>
  <Characters>4791</Characters>
  <CharactersWithSpaces>5716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