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8707647.xml.htm"/>
      <w:bookmarkStart w:id="1" w:name="kswkform3_177870764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Auvil Paul R.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CEREBRAS SYSTEMS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1237 E. ARQUES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Cerebras Systems Inc.</w:t>
              </w:r>
            </w:hyperlink>
            <w:r>
              <w:rPr/>
              <w:t xml:space="preserve"> [ </w:t>
            </w:r>
            <w:r>
              <w:rPr>
                <w:rFonts w:ascii="Times;serif" w:hAnsi="Times;serif"/>
                <w:color w:val="0000FF"/>
                <w:sz w:val="24"/>
                <w:shd w:fill="FFFFFF" w:val="clear"/>
              </w:rPr>
              <w:t>CBRS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203,750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Shirley 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16 AND FORM 144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both"/>
        <w:rPr/>
      </w:pPr>
      <w:r>
        <w:rPr>
          <w:rFonts w:ascii="Times New Roman;serif" w:hAnsi="Times New Roman;serif"/>
          <w:b w:val="false"/>
          <w:color w:val="000000"/>
          <w:sz w:val="22"/>
        </w:rPr>
        <w:t>With respect to holdings of and transactions in securities issued by Cerebras Systems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xml:space="preserve">), the undersigned hereby constitutes and appoints the individuals named on </w:t>
      </w:r>
      <w:r>
        <w:rPr>
          <w:rFonts w:ascii="Times New Roman;serif" w:hAnsi="Times New Roman;serif"/>
          <w:b/>
          <w:color w:val="000000"/>
          <w:sz w:val="22"/>
          <w:u w:val="single"/>
        </w:rPr>
        <w:t>Schedule A</w:t>
      </w:r>
      <w:r>
        <w:rPr>
          <w:color w:val="000000"/>
        </w:rPr>
        <w:t xml:space="preserve"> </w:t>
      </w:r>
      <w:r>
        <w:rPr>
          <w:rFonts w:ascii="Times New Roman;serif" w:hAnsi="Times New Roman;serif"/>
          <w:b w:val="false"/>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spacing w:lineRule="auto" w:line="288" w:before="0" w:after="240"/>
        <w:ind w:left="0" w:right="0" w:hanging="360"/>
        <w:jc w:val="both"/>
        <w:rPr/>
      </w:pPr>
      <w:r>
        <w:rPr>
          <w:rFonts w:ascii="Times New Roman;serif" w:hAnsi="Times New Roman;serif"/>
          <w:b w:val="false"/>
          <w:color w:val="000000"/>
          <w:sz w:val="22"/>
        </w:rPr>
        <w:t>1.execute for and on behalf of the undersigned, Schedules 13D and 13G in accordance with Section 13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serif" w:hAnsi="Times New Roman;serif"/>
          <w:b/>
          <w:i/>
          <w:color w:val="000000"/>
          <w:sz w:val="22"/>
        </w:rPr>
        <w:t>Form 144”</w:t>
      </w:r>
      <w:r>
        <w:rPr>
          <w:rFonts w:ascii="Times New Roman;serif" w:hAnsi="Times New Roman;serif"/>
          <w:b w:val="false"/>
          <w:color w:val="000000"/>
          <w:sz w:val="22"/>
        </w:rPr>
        <w:t>), in accordance with the requirements of Rule 144 under the Securities Act of 1933, as amended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24th day of April, 2026.</w:t>
      </w:r>
    </w:p>
    <w:tbl>
      <w:tblPr>
        <w:tblW w:w="3176" w:type="dxa"/>
        <w:jc w:val="left"/>
        <w:tblInd w:w="0" w:type="dxa"/>
        <w:tblLayout w:type="fixed"/>
        <w:tblCellMar>
          <w:top w:w="28" w:type="dxa"/>
          <w:left w:w="28" w:type="dxa"/>
          <w:bottom w:w="28" w:type="dxa"/>
          <w:right w:w="28" w:type="dxa"/>
        </w:tblCellMar>
      </w:tblPr>
      <w:tblGrid>
        <w:gridCol w:w="124"/>
        <w:gridCol w:w="109"/>
        <w:gridCol w:w="109"/>
        <w:gridCol w:w="830"/>
        <w:gridCol w:w="830"/>
        <w:gridCol w:w="11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Paul Reeves Auvil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Paul Reeves Auvil III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INDIVIDUALS APPOINTED AS ATTORNEY-IN-FACT,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WITH FULL POWER OF SUBSTITUTION AND RESUBSTITUTION</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1.Andrew Feldman, Chief Executive Officer </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2.Robert Komin, Chief Financial Officer</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3.Shirley Li, General Counsel</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4.Robert Mills, Senior Manager, Stock Administration</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5.Christopher Ing, Vice President, Corporate and Employment Legal</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10972" TargetMode="External"/><Relationship Id="rId3" Type="http://schemas.openxmlformats.org/officeDocument/2006/relationships/hyperlink" Target="http://www.sec.gov/cgi-bin/browse-edgar?action=getcompany&amp;CIK=00020217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932</Words>
  <Characters>4970</Characters>
  <CharactersWithSpaces>5843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