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May 14,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Cerebras Systems Inc.</w:t>
      </w:r>
    </w:p>
    <w:p>
      <w:pPr>
        <w:spacing w:after="0" w:line="51" w:lineRule="exact"/>
        <w:rPr>
          <w:sz w:val="24"/>
          <w:szCs w:val="24"/>
          <w:color w:val="auto"/>
        </w:rPr>
      </w:pPr>
    </w:p>
    <w:tbl>
      <w:tblPr>
        <w:tblLayout w:type="fixed"/>
        <w:tblInd w:w="1820" w:type="dxa"/>
        <w:tblCellMar>
          <w:top w:w="0" w:type="dxa"/>
          <w:left w:w="0" w:type="dxa"/>
          <w:bottom w:w="0" w:type="dxa"/>
          <w:right w:w="0" w:type="dxa"/>
        </w:tblCellMar>
      </w:tblPr>
      <w:tr>
        <w:trPr>
          <w:trHeight w:val="230"/>
        </w:trPr>
        <w:tc>
          <w:tcPr>
            <w:tcW w:w="5900" w:type="dxa"/>
            <w:vAlign w:val="bottom"/>
          </w:tcPr>
          <w:p>
            <w:pPr>
              <w:jc w:val="center"/>
              <w:ind w:left="1638"/>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c>
          <w:tcPr>
            <w:tcW w:w="1220" w:type="dxa"/>
            <w:vAlign w:val="bottom"/>
          </w:tcPr>
          <w:p>
            <w:pPr>
              <w:spacing w:after="0"/>
              <w:rPr>
                <w:sz w:val="19"/>
                <w:szCs w:val="19"/>
                <w:color w:val="auto"/>
              </w:rPr>
            </w:pPr>
          </w:p>
        </w:tc>
      </w:tr>
      <w:tr>
        <w:trPr>
          <w:trHeight w:val="225"/>
        </w:trPr>
        <w:tc>
          <w:tcPr>
            <w:tcW w:w="5900" w:type="dxa"/>
            <w:vAlign w:val="bottom"/>
          </w:tcPr>
          <w:p>
            <w:pPr>
              <w:jc w:val="center"/>
              <w:ind w:right="39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20" w:type="dxa"/>
            <w:vAlign w:val="bottom"/>
          </w:tcPr>
          <w:p>
            <w:pPr>
              <w:jc w:val="center"/>
              <w:ind w:left="43"/>
              <w:spacing w:after="0"/>
              <w:rPr>
                <w:sz w:val="20"/>
                <w:szCs w:val="20"/>
                <w:color w:val="auto"/>
              </w:rPr>
            </w:pPr>
            <w:r>
              <w:rPr>
                <w:rFonts w:ascii="Times New Roman" w:cs="Times New Roman" w:eastAsia="Times New Roman" w:hAnsi="Times New Roman"/>
                <w:sz w:val="18"/>
                <w:szCs w:val="18"/>
                <w:b w:val="1"/>
                <w:bCs w:val="1"/>
                <w:color w:val="auto"/>
                <w:w w:val="98"/>
              </w:rPr>
              <w:t>81-2256092</w:t>
            </w:r>
          </w:p>
        </w:tc>
      </w:tr>
      <w:tr>
        <w:trPr>
          <w:trHeight w:val="147"/>
        </w:trPr>
        <w:tc>
          <w:tcPr>
            <w:tcW w:w="5900" w:type="dxa"/>
            <w:vAlign w:val="bottom"/>
          </w:tcPr>
          <w:p>
            <w:pPr>
              <w:jc w:val="center"/>
              <w:ind w:right="3918"/>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5900" w:type="dxa"/>
            <w:vAlign w:val="bottom"/>
          </w:tcPr>
          <w:p>
            <w:pPr>
              <w:jc w:val="center"/>
              <w:ind w:right="39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7"/>
              </w:rPr>
              <w:t>1237 E. Arques Avenue</w:t>
            </w:r>
          </w:p>
        </w:tc>
        <w:tc>
          <w:tcPr>
            <w:tcW w:w="1220" w:type="dxa"/>
            <w:vAlign w:val="bottom"/>
          </w:tcPr>
          <w:p>
            <w:pPr>
              <w:spacing w:after="0"/>
              <w:rPr>
                <w:sz w:val="24"/>
                <w:szCs w:val="24"/>
                <w:color w:val="auto"/>
              </w:rPr>
            </w:pPr>
          </w:p>
        </w:tc>
      </w:tr>
      <w:tr>
        <w:trPr>
          <w:trHeight w:val="214"/>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9"/>
              </w:rPr>
              <w:t>Sunnyvale, California 94085</w:t>
            </w:r>
          </w:p>
        </w:tc>
        <w:tc>
          <w:tcPr>
            <w:tcW w:w="1220" w:type="dxa"/>
            <w:vAlign w:val="bottom"/>
          </w:tcPr>
          <w:p>
            <w:pPr>
              <w:spacing w:after="0"/>
              <w:rPr>
                <w:sz w:val="18"/>
                <w:szCs w:val="18"/>
                <w:color w:val="auto"/>
              </w:rPr>
            </w:pPr>
          </w:p>
        </w:tc>
      </w:tr>
      <w:tr>
        <w:trPr>
          <w:trHeight w:val="237"/>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9"/>
              </w:rPr>
              <w:t>(650) 933-4980</w:t>
            </w:r>
          </w:p>
        </w:tc>
        <w:tc>
          <w:tcPr>
            <w:tcW w:w="1220" w:type="dxa"/>
            <w:vAlign w:val="bottom"/>
          </w:tcPr>
          <w:p>
            <w:pPr>
              <w:spacing w:after="0"/>
              <w:rPr>
                <w:sz w:val="20"/>
                <w:szCs w:val="20"/>
                <w:color w:val="auto"/>
              </w:rPr>
            </w:pPr>
          </w:p>
        </w:tc>
      </w:tr>
      <w:tr>
        <w:trPr>
          <w:trHeight w:val="269"/>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220" w:type="dxa"/>
            <w:vAlign w:val="bottom"/>
          </w:tcPr>
          <w:p>
            <w:pPr>
              <w:spacing w:after="0"/>
              <w:rPr>
                <w:sz w:val="23"/>
                <w:szCs w:val="23"/>
                <w:color w:val="auto"/>
              </w:rPr>
            </w:pPr>
          </w:p>
        </w:tc>
      </w:tr>
      <w:tr>
        <w:trPr>
          <w:trHeight w:val="414"/>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8"/>
                <w:szCs w:val="18"/>
                <w:b w:val="1"/>
                <w:bCs w:val="1"/>
                <w:color w:val="auto"/>
                <w:w w:val="98"/>
              </w:rPr>
              <w:t>Cerebras Systems Inc., 2016 Equity Incentive Plan</w:t>
            </w:r>
          </w:p>
        </w:tc>
        <w:tc>
          <w:tcPr>
            <w:tcW w:w="1220" w:type="dxa"/>
            <w:vAlign w:val="bottom"/>
          </w:tcPr>
          <w:p>
            <w:pPr>
              <w:spacing w:after="0"/>
              <w:rPr>
                <w:sz w:val="24"/>
                <w:szCs w:val="24"/>
                <w:color w:val="auto"/>
              </w:rPr>
            </w:pPr>
          </w:p>
        </w:tc>
      </w:tr>
      <w:tr>
        <w:trPr>
          <w:trHeight w:val="187"/>
        </w:trPr>
        <w:tc>
          <w:tcPr>
            <w:tcW w:w="5900" w:type="dxa"/>
            <w:vAlign w:val="bottom"/>
          </w:tcPr>
          <w:p>
            <w:pPr>
              <w:jc w:val="center"/>
              <w:ind w:left="1618"/>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220" w:type="dxa"/>
            <w:vAlign w:val="bottom"/>
          </w:tcPr>
          <w:p>
            <w:pPr>
              <w:spacing w:after="0"/>
              <w:rPr>
                <w:sz w:val="16"/>
                <w:szCs w:val="16"/>
                <w:color w:val="auto"/>
              </w:rPr>
            </w:pPr>
          </w:p>
        </w:tc>
      </w:tr>
    </w:tbl>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Andrew D. Feldman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Cerebras Systems Inc.</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1237 E. Arques Avenue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933-4980</w:t>
      </w: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11" w:lineRule="exact"/>
        <w:rPr>
          <w:sz w:val="24"/>
          <w:szCs w:val="24"/>
          <w:color w:val="auto"/>
        </w:rPr>
      </w:pPr>
    </w:p>
    <w:tbl>
      <w:tblPr>
        <w:tblLayout w:type="fixed"/>
        <w:tblInd w:w="160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4860" w:type="dxa"/>
            <w:vAlign w:val="bottom"/>
          </w:tcPr>
          <w:p>
            <w:pPr>
              <w:ind w:left="6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204"/>
        </w:trPr>
        <w:tc>
          <w:tcPr>
            <w:tcW w:w="3040" w:type="dxa"/>
            <w:vAlign w:val="bottom"/>
          </w:tcPr>
          <w:p>
            <w:pPr>
              <w:jc w:val="center"/>
              <w:ind w:right="511"/>
              <w:spacing w:after="0" w:line="204" w:lineRule="exact"/>
              <w:rPr>
                <w:sz w:val="20"/>
                <w:szCs w:val="20"/>
                <w:color w:val="auto"/>
              </w:rPr>
            </w:pPr>
            <w:r>
              <w:rPr>
                <w:rFonts w:ascii="Times New Roman" w:cs="Times New Roman" w:eastAsia="Times New Roman" w:hAnsi="Times New Roman"/>
                <w:sz w:val="18"/>
                <w:szCs w:val="18"/>
                <w:b w:val="1"/>
                <w:bCs w:val="1"/>
                <w:color w:val="auto"/>
                <w:w w:val="96"/>
              </w:rPr>
              <w:t>Tad J. Freese</w:t>
            </w:r>
          </w:p>
        </w:tc>
        <w:tc>
          <w:tcPr>
            <w:tcW w:w="4860" w:type="dxa"/>
            <w:vAlign w:val="bottom"/>
          </w:tcPr>
          <w:p>
            <w:pPr>
              <w:jc w:val="center"/>
              <w:ind w:left="2631"/>
              <w:spacing w:after="0" w:line="204" w:lineRule="exact"/>
              <w:rPr>
                <w:sz w:val="20"/>
                <w:szCs w:val="20"/>
                <w:color w:val="auto"/>
              </w:rPr>
            </w:pPr>
            <w:r>
              <w:rPr>
                <w:rFonts w:ascii="Times New Roman" w:cs="Times New Roman" w:eastAsia="Times New Roman" w:hAnsi="Times New Roman"/>
                <w:sz w:val="18"/>
                <w:szCs w:val="18"/>
                <w:b w:val="1"/>
                <w:bCs w:val="1"/>
                <w:color w:val="auto"/>
                <w:w w:val="99"/>
              </w:rPr>
              <w:t>Shirley X. Li</w:t>
            </w:r>
          </w:p>
        </w:tc>
      </w:tr>
      <w:tr>
        <w:trPr>
          <w:trHeight w:val="183"/>
        </w:trPr>
        <w:tc>
          <w:tcPr>
            <w:tcW w:w="3040" w:type="dxa"/>
            <w:vAlign w:val="bottom"/>
          </w:tcPr>
          <w:p>
            <w:pPr>
              <w:jc w:val="center"/>
              <w:ind w:right="511"/>
              <w:spacing w:after="0" w:line="182" w:lineRule="exact"/>
              <w:rPr>
                <w:sz w:val="20"/>
                <w:szCs w:val="20"/>
                <w:color w:val="auto"/>
              </w:rPr>
            </w:pPr>
            <w:r>
              <w:rPr>
                <w:rFonts w:ascii="Times New Roman" w:cs="Times New Roman" w:eastAsia="Times New Roman" w:hAnsi="Times New Roman"/>
                <w:sz w:val="18"/>
                <w:szCs w:val="18"/>
                <w:b w:val="1"/>
                <w:bCs w:val="1"/>
                <w:color w:val="auto"/>
                <w:w w:val="98"/>
              </w:rPr>
              <w:t>Sarah B. Axtell</w:t>
            </w:r>
          </w:p>
        </w:tc>
        <w:tc>
          <w:tcPr>
            <w:tcW w:w="4860" w:type="dxa"/>
            <w:vAlign w:val="bottom"/>
          </w:tcPr>
          <w:p>
            <w:pPr>
              <w:jc w:val="center"/>
              <w:ind w:left="2631"/>
              <w:spacing w:after="0" w:line="182" w:lineRule="exact"/>
              <w:rPr>
                <w:sz w:val="20"/>
                <w:szCs w:val="20"/>
                <w:color w:val="auto"/>
              </w:rPr>
            </w:pPr>
            <w:r>
              <w:rPr>
                <w:rFonts w:ascii="Times New Roman" w:cs="Times New Roman" w:eastAsia="Times New Roman" w:hAnsi="Times New Roman"/>
                <w:sz w:val="18"/>
                <w:szCs w:val="18"/>
                <w:b w:val="1"/>
                <w:bCs w:val="1"/>
                <w:color w:val="auto"/>
                <w:w w:val="97"/>
              </w:rPr>
              <w:t>Christopher Ing</w:t>
            </w:r>
          </w:p>
        </w:tc>
      </w:tr>
      <w:tr>
        <w:trPr>
          <w:trHeight w:val="174"/>
        </w:trPr>
        <w:tc>
          <w:tcPr>
            <w:tcW w:w="3040" w:type="dxa"/>
            <w:vAlign w:val="bottom"/>
          </w:tcPr>
          <w:p>
            <w:pPr>
              <w:jc w:val="center"/>
              <w:ind w:right="511"/>
              <w:spacing w:after="0" w:line="174" w:lineRule="exact"/>
              <w:rPr>
                <w:sz w:val="20"/>
                <w:szCs w:val="20"/>
                <w:color w:val="auto"/>
              </w:rPr>
            </w:pPr>
            <w:r>
              <w:rPr>
                <w:rFonts w:ascii="Times New Roman" w:cs="Times New Roman" w:eastAsia="Times New Roman" w:hAnsi="Times New Roman"/>
                <w:sz w:val="18"/>
                <w:szCs w:val="18"/>
                <w:b w:val="1"/>
                <w:bCs w:val="1"/>
                <w:color w:val="auto"/>
                <w:w w:val="97"/>
              </w:rPr>
              <w:t>Zuzanna V. Gruca</w:t>
            </w:r>
          </w:p>
        </w:tc>
        <w:tc>
          <w:tcPr>
            <w:tcW w:w="4860" w:type="dxa"/>
            <w:vAlign w:val="bottom"/>
          </w:tcPr>
          <w:p>
            <w:pPr>
              <w:jc w:val="center"/>
              <w:ind w:left="2631"/>
              <w:spacing w:after="0" w:line="174" w:lineRule="exact"/>
              <w:rPr>
                <w:sz w:val="20"/>
                <w:szCs w:val="20"/>
                <w:color w:val="auto"/>
              </w:rPr>
            </w:pPr>
            <w:r>
              <w:rPr>
                <w:rFonts w:ascii="Times New Roman" w:cs="Times New Roman" w:eastAsia="Times New Roman" w:hAnsi="Times New Roman"/>
                <w:sz w:val="18"/>
                <w:szCs w:val="18"/>
                <w:b w:val="1"/>
                <w:bCs w:val="1"/>
                <w:color w:val="auto"/>
                <w:w w:val="99"/>
              </w:rPr>
              <w:t>Cerebras Systems Inc.</w:t>
            </w:r>
          </w:p>
        </w:tc>
      </w:tr>
      <w:tr>
        <w:trPr>
          <w:trHeight w:val="178"/>
        </w:trPr>
        <w:tc>
          <w:tcPr>
            <w:tcW w:w="3040" w:type="dxa"/>
            <w:vAlign w:val="bottom"/>
          </w:tcPr>
          <w:p>
            <w:pPr>
              <w:jc w:val="center"/>
              <w:ind w:right="531"/>
              <w:spacing w:after="0" w:line="178" w:lineRule="exact"/>
              <w:rPr>
                <w:sz w:val="20"/>
                <w:szCs w:val="20"/>
                <w:color w:val="auto"/>
              </w:rPr>
            </w:pPr>
            <w:r>
              <w:rPr>
                <w:rFonts w:ascii="Times New Roman" w:cs="Times New Roman" w:eastAsia="Times New Roman" w:hAnsi="Times New Roman"/>
                <w:sz w:val="18"/>
                <w:szCs w:val="18"/>
                <w:b w:val="1"/>
                <w:bCs w:val="1"/>
                <w:color w:val="auto"/>
                <w:w w:val="98"/>
              </w:rPr>
              <w:t>Latham &amp; Watkins LLP</w:t>
            </w:r>
          </w:p>
        </w:tc>
        <w:tc>
          <w:tcPr>
            <w:tcW w:w="4860" w:type="dxa"/>
            <w:vAlign w:val="bottom"/>
          </w:tcPr>
          <w:p>
            <w:pPr>
              <w:jc w:val="center"/>
              <w:ind w:left="2631"/>
              <w:spacing w:after="0" w:line="178" w:lineRule="exact"/>
              <w:rPr>
                <w:sz w:val="20"/>
                <w:szCs w:val="20"/>
                <w:color w:val="auto"/>
              </w:rPr>
            </w:pPr>
            <w:r>
              <w:rPr>
                <w:rFonts w:ascii="Times New Roman" w:cs="Times New Roman" w:eastAsia="Times New Roman" w:hAnsi="Times New Roman"/>
                <w:sz w:val="18"/>
                <w:szCs w:val="18"/>
                <w:b w:val="1"/>
                <w:bCs w:val="1"/>
                <w:color w:val="auto"/>
                <w:w w:val="98"/>
              </w:rPr>
              <w:t>1237 E. Arques Avenue</w:t>
            </w:r>
          </w:p>
        </w:tc>
      </w:tr>
      <w:tr>
        <w:trPr>
          <w:trHeight w:val="183"/>
        </w:trPr>
        <w:tc>
          <w:tcPr>
            <w:tcW w:w="3040" w:type="dxa"/>
            <w:vAlign w:val="bottom"/>
          </w:tcPr>
          <w:p>
            <w:pPr>
              <w:jc w:val="center"/>
              <w:ind w:right="531"/>
              <w:spacing w:after="0" w:line="182" w:lineRule="exact"/>
              <w:rPr>
                <w:sz w:val="20"/>
                <w:szCs w:val="20"/>
                <w:color w:val="auto"/>
              </w:rPr>
            </w:pPr>
            <w:r>
              <w:rPr>
                <w:rFonts w:ascii="Times New Roman" w:cs="Times New Roman" w:eastAsia="Times New Roman" w:hAnsi="Times New Roman"/>
                <w:sz w:val="18"/>
                <w:szCs w:val="18"/>
                <w:b w:val="1"/>
                <w:bCs w:val="1"/>
                <w:color w:val="auto"/>
                <w:w w:val="98"/>
              </w:rPr>
              <w:t>801 Jefferson Avenue, Suite 300</w:t>
            </w:r>
          </w:p>
        </w:tc>
        <w:tc>
          <w:tcPr>
            <w:tcW w:w="4860" w:type="dxa"/>
            <w:vAlign w:val="bottom"/>
          </w:tcPr>
          <w:p>
            <w:pPr>
              <w:jc w:val="center"/>
              <w:ind w:left="2631"/>
              <w:spacing w:after="0" w:line="182" w:lineRule="exact"/>
              <w:rPr>
                <w:sz w:val="20"/>
                <w:szCs w:val="20"/>
                <w:color w:val="auto"/>
              </w:rPr>
            </w:pPr>
            <w:r>
              <w:rPr>
                <w:rFonts w:ascii="Times New Roman" w:cs="Times New Roman" w:eastAsia="Times New Roman" w:hAnsi="Times New Roman"/>
                <w:sz w:val="18"/>
                <w:szCs w:val="18"/>
                <w:b w:val="1"/>
                <w:bCs w:val="1"/>
                <w:color w:val="auto"/>
                <w:w w:val="98"/>
              </w:rPr>
              <w:t>Sunnyvale, California 94085</w:t>
            </w:r>
          </w:p>
        </w:tc>
      </w:tr>
      <w:tr>
        <w:trPr>
          <w:trHeight w:val="174"/>
        </w:trPr>
        <w:tc>
          <w:tcPr>
            <w:tcW w:w="3040" w:type="dxa"/>
            <w:vAlign w:val="bottom"/>
          </w:tcPr>
          <w:p>
            <w:pPr>
              <w:jc w:val="center"/>
              <w:ind w:right="531"/>
              <w:spacing w:after="0" w:line="174" w:lineRule="exact"/>
              <w:rPr>
                <w:sz w:val="20"/>
                <w:szCs w:val="20"/>
                <w:color w:val="auto"/>
              </w:rPr>
            </w:pPr>
            <w:r>
              <w:rPr>
                <w:rFonts w:ascii="Times New Roman" w:cs="Times New Roman" w:eastAsia="Times New Roman" w:hAnsi="Times New Roman"/>
                <w:sz w:val="18"/>
                <w:szCs w:val="18"/>
                <w:b w:val="1"/>
                <w:bCs w:val="1"/>
                <w:color w:val="auto"/>
                <w:w w:val="97"/>
              </w:rPr>
              <w:t>Redwood City, California 94063</w:t>
            </w:r>
          </w:p>
        </w:tc>
        <w:tc>
          <w:tcPr>
            <w:tcW w:w="4860" w:type="dxa"/>
            <w:vAlign w:val="bottom"/>
          </w:tcPr>
          <w:p>
            <w:pPr>
              <w:jc w:val="center"/>
              <w:ind w:left="2631"/>
              <w:spacing w:after="0" w:line="174" w:lineRule="exact"/>
              <w:rPr>
                <w:sz w:val="20"/>
                <w:szCs w:val="20"/>
                <w:color w:val="auto"/>
              </w:rPr>
            </w:pPr>
            <w:r>
              <w:rPr>
                <w:rFonts w:ascii="Times New Roman" w:cs="Times New Roman" w:eastAsia="Times New Roman" w:hAnsi="Times New Roman"/>
                <w:sz w:val="18"/>
                <w:szCs w:val="18"/>
                <w:b w:val="1"/>
                <w:bCs w:val="1"/>
                <w:color w:val="auto"/>
                <w:w w:val="97"/>
              </w:rPr>
              <w:t>(650) 933-4980</w:t>
            </w:r>
          </w:p>
        </w:tc>
      </w:tr>
      <w:tr>
        <w:trPr>
          <w:trHeight w:val="237"/>
        </w:trPr>
        <w:tc>
          <w:tcPr>
            <w:tcW w:w="304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7"/>
              </w:rPr>
              <w:t>(650) 328-4600</w:t>
            </w:r>
          </w:p>
        </w:tc>
        <w:tc>
          <w:tcPr>
            <w:tcW w:w="4860" w:type="dxa"/>
            <w:vAlign w:val="bottom"/>
          </w:tcPr>
          <w:p>
            <w:pPr>
              <w:spacing w:after="0"/>
              <w:rPr>
                <w:sz w:val="20"/>
                <w:szCs w:val="20"/>
                <w:color w:val="auto"/>
              </w:rPr>
            </w:pPr>
          </w:p>
        </w:tc>
      </w:tr>
    </w:tbl>
    <w:p>
      <w:pPr>
        <w:spacing w:after="0" w:line="279" w:lineRule="exact"/>
        <w:rPr>
          <w:sz w:val="24"/>
          <w:szCs w:val="24"/>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300" w:type="dxa"/>
            <w:vAlign w:val="bottom"/>
          </w:tcPr>
          <w:p>
            <w:pPr>
              <w:ind w:left="980"/>
              <w:spacing w:after="0"/>
              <w:rPr>
                <w:sz w:val="20"/>
                <w:szCs w:val="20"/>
                <w:color w:val="auto"/>
              </w:rPr>
            </w:pPr>
            <w:r>
              <w:rPr>
                <w:rFonts w:ascii="Wingdings" w:cs="Wingdings" w:eastAsia="Wingdings" w:hAnsi="Wingdings"/>
                <w:sz w:val="18"/>
                <w:szCs w:val="18"/>
                <w:b w:val="1"/>
                <w:bCs w:val="1"/>
                <w:color w:val="auto"/>
              </w:rPr>
              <w:t>o</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400" w:type="dxa"/>
            <w:vAlign w:val="bottom"/>
          </w:tcPr>
          <w:p>
            <w:pPr>
              <w:ind w:left="2200"/>
              <w:spacing w:after="0"/>
              <w:rPr>
                <w:sz w:val="20"/>
                <w:szCs w:val="20"/>
                <w:color w:val="auto"/>
              </w:rPr>
            </w:pPr>
            <w:r>
              <w:rPr>
                <w:rFonts w:ascii="Wingdings" w:cs="Wingdings" w:eastAsia="Wingdings" w:hAnsi="Wingdings"/>
                <w:sz w:val="18"/>
                <w:szCs w:val="18"/>
                <w:b w:val="1"/>
                <w:bCs w:val="1"/>
                <w:color w:val="auto"/>
              </w:rPr>
              <w:t>o</w:t>
            </w:r>
          </w:p>
        </w:tc>
      </w:tr>
      <w:tr>
        <w:trPr>
          <w:trHeight w:val="481"/>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300" w:type="dxa"/>
            <w:vAlign w:val="bottom"/>
          </w:tcPr>
          <w:p>
            <w:pPr>
              <w:ind w:left="980"/>
              <w:spacing w:after="0"/>
              <w:rPr>
                <w:sz w:val="20"/>
                <w:szCs w:val="20"/>
                <w:color w:val="auto"/>
              </w:rPr>
            </w:pPr>
            <w:r>
              <w:rPr>
                <w:rFonts w:ascii="Wingdings" w:cs="Wingdings" w:eastAsia="Wingdings" w:hAnsi="Wingdings"/>
                <w:sz w:val="18"/>
                <w:szCs w:val="18"/>
                <w:b w:val="1"/>
                <w:bCs w:val="1"/>
                <w:color w:val="auto"/>
              </w:rPr>
              <w:t>x</w:t>
            </w: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0" w:type="dxa"/>
            <w:vAlign w:val="bottom"/>
          </w:tcPr>
          <w:p>
            <w:pPr>
              <w:ind w:left="2200"/>
              <w:spacing w:after="0"/>
              <w:rPr>
                <w:sz w:val="20"/>
                <w:szCs w:val="20"/>
                <w:color w:val="auto"/>
              </w:rPr>
            </w:pPr>
            <w:r>
              <w:rPr>
                <w:rFonts w:ascii="Wingdings" w:cs="Wingdings" w:eastAsia="Wingdings" w:hAnsi="Wingdings"/>
                <w:sz w:val="18"/>
                <w:szCs w:val="18"/>
                <w:b w:val="1"/>
                <w:bCs w:val="1"/>
                <w:color w:val="auto"/>
              </w:rPr>
              <w:t>o</w:t>
            </w:r>
          </w:p>
        </w:tc>
      </w:tr>
      <w:tr>
        <w:trPr>
          <w:trHeight w:val="481"/>
        </w:trPr>
        <w:tc>
          <w:tcPr>
            <w:tcW w:w="2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0" w:type="dxa"/>
            <w:vAlign w:val="bottom"/>
          </w:tcPr>
          <w:p>
            <w:pPr>
              <w:ind w:left="220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00" w:lineRule="exact"/>
        <w:rPr>
          <w:sz w:val="24"/>
          <w:szCs w:val="24"/>
          <w:color w:val="auto"/>
        </w:rPr>
      </w:pPr>
    </w:p>
    <w:p>
      <w:pPr>
        <w:spacing w:after="0" w:line="342" w:lineRule="exact"/>
        <w:rPr>
          <w:sz w:val="24"/>
          <w:szCs w:val="24"/>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174625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registration statement contains a “reoffer prospectus” prepared in accordance with Part I of Form S-3 (in accordance with Instruction C of the General Instructions to Form S-8). This reoffer prospectus may be used for reoffers and resales on a continuous or delayed basis of certain of those shares of Class A common stock, par value $0.00001 per share, of Cerebras Systems Inc. (the “Registrant”) that constitute “control securities” or “restricted securities,” within the meaning of the Securities Act of 1933, as amended (the “Securities Act”), by certain stockholders that are current and former directors, officers, other employees, and consultants of the Registrant (each, a “Selling Stockholder”) for their own accounts. Certain of the Selling Stockholders may be eligible to sell a portion of their Shares prior to the expiration of market standoff provisions or the lock-up agreements that they have entered into with the underwriters for the Registrant’s initial public offering, pursuant to release provisions in such lock-up agreements as described in the section titled “Shares Eligible for Future Sale” in the Registrant’s Registration Statement on Form S-1, initially filed with the Securities and Exchange Commission on April 17, 2026 and as amended from time to time thereafter (File No. 333-295145). Subject to such market standoff provisions or lock-up agreements, the Selling Stockholders may sell any, all, or none of the Shares, and the Registrant does not know when or in what amount the Selling Stockholders may sell their Shares, if they were to sell any, hereunder following the effective date of this registration statement. As specified in General Instruction C of Form S-8, the amount of securities to be reoffered or resold under the reoffer prospectus by each Selling Stockholder and any other person with whom he or she is acting in concert for the purpose of selling the Registrant’s securities, may not exceed, during any three-month period, the amount specified in Rule 144(e) under the Securities Act.</w:t>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18415</wp:posOffset>
            </wp:positionV>
            <wp:extent cx="1628775" cy="695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695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CEREBRAS SYSTEMS INC.</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6,808,018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prospectus relates to 6,808,018 shares (the “Shares”) of Class A common stock, par value $0.00001 per share (“Class A common stock”), of Cerebras Systems Inc. (“us,” “we,” or the “Registrant”), which may be offered from time to time by certain stockholders that are our current or former directors, officers, other employees, and consultants (the “Selling Stockholders”) for their own accounts. We will not receive any of the proceeds from the sale of Shares by the Selling Stockholders made hereunder. The Shares consist of an aggregate of 6,808,018 shares of Class A common stock issuable to the Selling Stockholders upon the conversion of shares of Class B common stock, par value $0.00001 per share (“Class B common stock”), of the Registrant, held by such Selling Stockholders, of which (i) 1,319,861 shares of Class B common stock are issuable to the Selling Stockholders pursuant to the settlement of restricted stock units (“RSUs”) held by such Selling Stockholders and (ii) 5,488,157 shares of Class B common stock have been issued to such Selling Stockholders pursuant to the settlement of RSUs and/or exercise of options, in each case, acquired by the Selling Stockholders under the Registrant’s 2016 Equity Incentive Plan (as amended, the “2016 Plan”).</w:t>
      </w:r>
    </w:p>
    <w:p>
      <w:pPr>
        <w:spacing w:after="0" w:line="1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Selling Stockholders may sell the Shares described in this prospectus in a number of different ways and at varying prices, including sales in the open market, sales in negotiated transactions, and sales by a combination of these methods. Certain of the Selling Stockholders may be eligible to sell a portion of their Shares prior to the expiration of market standoff provisions or the lock-up agreements that they have entered into with the underwriters for our initial public offering, pursuant to release provisions in such lock-up agreements as described in the section titled “Shares Eligible for Future Sale” in our registration statement on Form S-1, initially filed with the Securities and Exchange Commission (the “SEC”) on April 17, 2026 and as amended from time to time thereafter (File No. 333-295145). Subject to such market standoff provisions or lock-up agreements, the Selling Stockholders may sell any, all, or none of the Shares, and we do not know when or in what amount the Selling Stockholders may sell their Shares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the Class A common stock at the time of a sale, at prices relating to the market price over a period of time, or at prices negotiated with the buyers of the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 The Selling Stockholders will bear all sales commissions and similar expenses. Any other expenses incurred by us in connection with the registration and offering that are not borne by the Selling Stockholders will be borne by us.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Class A common stock has been approved for listing on the Nasdaq Global Select Market under the symbol “CBRS.” The initial public offering price of our Class A common stock pursuant to our Registration Statement on Form S-1 (File No. 333-295145), as amended, declared effective on May 13, 2026, was $185.00 per share.</w:t>
      </w:r>
    </w:p>
    <w:p>
      <w:pPr>
        <w:spacing w:after="0" w:line="1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amount of Shares to be offered or resold under this reoffer prospectus by each Selling Stockholder or other person with whom he or she is acting in concert for the purpose of selling the Shares, may not exceed, during any three-month period, the amount specified in Rule 144(e) under the Securities Act of 1933, as amended (the “Securities Act”).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a high degree of risk. Before buying any securities, you should carefully read the discussion of the risks of investing in our securities in “Risk Factors” on page </w:t>
      </w:r>
      <w:r>
        <w:rPr>
          <w:rFonts w:ascii="Times New Roman" w:cs="Times New Roman" w:eastAsia="Times New Roman" w:hAnsi="Times New Roman"/>
          <w:sz w:val="18"/>
          <w:szCs w:val="18"/>
          <w:b w:val="1"/>
          <w:bCs w:val="1"/>
          <w:u w:val="single" w:color="auto"/>
          <w:color w:val="0000FF"/>
        </w:rPr>
        <w:t>3</w:t>
      </w:r>
      <w:r>
        <w:rPr>
          <w:rFonts w:ascii="Times New Roman" w:cs="Times New Roman" w:eastAsia="Times New Roman" w:hAnsi="Times New Roman"/>
          <w:sz w:val="18"/>
          <w:szCs w:val="18"/>
          <w:b w:val="1"/>
          <w:bCs w:val="1"/>
          <w:color w:val="auto"/>
        </w:rPr>
        <w:t xml:space="preserve"> of this prospectus.</w:t>
      </w:r>
    </w:p>
    <w:p>
      <w:pPr>
        <w:spacing w:after="0" w:line="10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Securities and Exchange Commission (the “SEC”) may take the view that, under certain circumstances, the Selling Stockholders and any broker-dealers or agents that participate with the Selling Stockholders in the distribution of the Shares may be deemed to be “underwriters” within the meaning of the Securities Act.</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Commissions, discounts, or concessions received by any such broker-dealer or agent may be deemed to be underwriting commissions under the Securities Act. See the section titled “Plan of Distribution.”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95250</wp:posOffset>
            </wp:positionV>
            <wp:extent cx="1315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5085" cy="82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May 14, 2026</w:t>
      </w:r>
    </w:p>
    <w:p>
      <w:pPr>
        <w:sectPr>
          <w:pgSz w:w="11900" w:h="16838" w:orient="portrait"/>
          <w:cols w:equalWidth="0" w:num="1">
            <w:col w:w="11240"/>
          </w:cols>
          <w:pgMar w:left="320" w:top="972" w:right="339" w:bottom="1440" w:gutter="0" w:footer="0" w:header="0"/>
        </w:sectPr>
      </w:pPr>
    </w:p>
    <w:bookmarkStart w:id="3" w:name="page4"/>
    <w:bookmarkEnd w:id="3"/>
    <w:p>
      <w:pPr>
        <w:spacing w:after="0" w:line="1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3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0360" w:type="dxa"/>
            <w:vAlign w:val="bottom"/>
            <w:gridSpan w:val="14"/>
            <w:vMerge w:val="continue"/>
          </w:tcPr>
          <w:p>
            <w:pPr>
              <w:spacing w:after="0"/>
              <w:rPr>
                <w:sz w:val="15"/>
                <w:szCs w:val="15"/>
                <w:color w:val="auto"/>
              </w:rPr>
            </w:pPr>
          </w:p>
        </w:tc>
        <w:tc>
          <w:tcPr>
            <w:tcW w:w="8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912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080" w:type="dxa"/>
            <w:vAlign w:val="bottom"/>
            <w:gridSpan w:val="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2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SELLING STOCKHOLDERS</w:t>
            </w:r>
          </w:p>
        </w:tc>
        <w:tc>
          <w:tcPr>
            <w:tcW w:w="81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160" w:type="dxa"/>
            <w:vAlign w:val="bottom"/>
          </w:tcPr>
          <w:p>
            <w:pPr>
              <w:spacing w:after="0"/>
              <w:rPr>
                <w:sz w:val="18"/>
                <w:szCs w:val="18"/>
                <w:color w:val="auto"/>
              </w:rPr>
            </w:pPr>
          </w:p>
        </w:tc>
        <w:tc>
          <w:tcPr>
            <w:tcW w:w="816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3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EXPERTS</w:t>
            </w:r>
          </w:p>
        </w:tc>
        <w:tc>
          <w:tcPr>
            <w:tcW w:w="8920" w:type="dxa"/>
            <w:vAlign w:val="bottom"/>
            <w:gridSpan w:val="9"/>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03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INFORMATION INCORPORATED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200" w:type="dxa"/>
            <w:vAlign w:val="bottom"/>
          </w:tcPr>
          <w:p>
            <w:pPr>
              <w:spacing w:after="0"/>
              <w:rPr>
                <w:sz w:val="18"/>
                <w:szCs w:val="18"/>
                <w:color w:val="auto"/>
              </w:rPr>
            </w:pPr>
          </w:p>
        </w:tc>
        <w:tc>
          <w:tcPr>
            <w:tcW w:w="638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14</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PART I INFORMATION REQUIRED IN THE SECTION 10(A) PROSPECTUS</w:t>
            </w:r>
          </w:p>
        </w:tc>
        <w:tc>
          <w:tcPr>
            <w:tcW w:w="4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70"/>
              </w:rPr>
              <w:t>I-1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6"/>
              </w:rPr>
              <w:t>PART II INFORMATION REQUIRED IN REGISTRATION STATEMENT</w:t>
            </w:r>
          </w:p>
        </w:tc>
        <w:tc>
          <w:tcPr>
            <w:tcW w:w="3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II-1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EXHIBIT INDEX</w:t>
            </w:r>
          </w:p>
        </w:tc>
        <w:tc>
          <w:tcPr>
            <w:tcW w:w="4120" w:type="dxa"/>
            <w:vAlign w:val="bottom"/>
            <w:gridSpan w:val="8"/>
          </w:tcPr>
          <w:p>
            <w:pPr>
              <w:spacing w:after="0"/>
              <w:rPr>
                <w:sz w:val="18"/>
                <w:szCs w:val="18"/>
                <w:color w:val="auto"/>
              </w:rPr>
            </w:pPr>
          </w:p>
        </w:tc>
        <w:tc>
          <w:tcPr>
            <w:tcW w:w="492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II-3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040" w:type="dxa"/>
            <w:vAlign w:val="bottom"/>
            <w:gridSpan w:val="10"/>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220" w:type="dxa"/>
            <w:vAlign w:val="bottom"/>
            <w:gridSpan w:val="2"/>
          </w:tcPr>
          <w:p>
            <w:pPr>
              <w:spacing w:after="0"/>
              <w:rPr>
                <w:sz w:val="18"/>
                <w:szCs w:val="18"/>
                <w:color w:val="auto"/>
              </w:rPr>
            </w:pPr>
          </w:p>
        </w:tc>
        <w:tc>
          <w:tcPr>
            <w:tcW w:w="904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II-5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4" w:name="page5"/>
    <w:bookmarkEnd w:id="4"/>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REOFFER PROSPECTUS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or in any accompanying prospectus supplement by us or on our behalf. We have not authorized anyone to provide you any information or to make any representations other than those contained in this prospectus. We take no responsibility for, or provide any assurance as to the reliability of, any other information others may give you. This prospectus is an offer to sell only the shares offered hereby, and only under circumstances and in jurisdictions where it is lawful to do so. We are not making an offer to sell the Shares in any jurisdiction where the offer or sale is not permitted. The information contained in this prospectus is accurate only as of the date of this prospectus, regardless of the time of delivery of this prospectus or any sale of the Shares. Our business, financial condition, results of operations, and prospects may have changed since that date.</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“Cerebras,” “Cerebras Systems,” the Cerebras logos, and other trade names, trademarks, or service marks of Cerebras appearing in this prospectus are the property of Cerebras Systems Inc. Other trade names, trademarks, or service marks appearing in this prospectus are the property of their respective holders. Solely for convenience, trade names, trademarks, and service marks referred to in this prospectus appear without the ®, ™, and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symbols, but those references are not intended to indicate, in any way, that we will not assert, to the fullest extent under applicable law, our rights or that the applicable owner will not assert its rights, to these trade names, trademarks, and service marks.</w:t>
      </w:r>
    </w:p>
    <w:p>
      <w:pPr>
        <w:spacing w:after="0" w:line="19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As used in this prospectus, unless the context otherwise requires, references to “Cerebras Systems,” “Cerebras,” the “company,” “we,” “us,” “our,” and similar terms refer to Cerebras Systems Inc. and, where appropriate,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1036955</wp:posOffset>
            </wp:positionV>
            <wp:extent cx="7138035" cy="3897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389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building the fastest commercial AI infrastructure in the world. Our AI supercomputers are purpose built to make AI fast. Our full-stack hardware and software platform is designed to complete AI tasks significantly faster and more efficiently than comparable GPU-based solutions, whether deployed on premises, through the Cerebras Cloud, or via partner clouds.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deliver our solutions to customers in several different ways. Organizations that require full data and infrastructure control can purchase Cerebras AI supercomputers for on-premises deployments. Customers seeking cloud flexibility can access Cerebras compute through consumption-based models on Cerebras Cloud or through partner clouds.</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ability to deliver differentiated performance has made us a strategic partner to many of our largest customers. Beyond providing compute infrastructure, we provide AI services to our customers to co-develop solutions to address their most complex challenges, from training state-of-the-art models to optimizing deployments for each application’s needs.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were incorporated in April 2016 as a Delaware corporation. Our principal executive offices are located at 1237 E. Arques Avenue, Sunnyvale, California 94085, and our telephone number is (650) 933-4980. Our website address is </w:t>
      </w:r>
      <w:r>
        <w:rPr>
          <w:rFonts w:ascii="Times New Roman" w:cs="Times New Roman" w:eastAsia="Times New Roman" w:hAnsi="Times New Roman"/>
          <w:sz w:val="18"/>
          <w:szCs w:val="18"/>
          <w:i w:val="1"/>
          <w:iCs w:val="1"/>
          <w:color w:val="auto"/>
        </w:rPr>
        <w:t>www.cerebras.ai</w:t>
      </w:r>
      <w:r>
        <w:rPr>
          <w:rFonts w:ascii="Times New Roman" w:cs="Times New Roman" w:eastAsia="Times New Roman" w:hAnsi="Times New Roman"/>
          <w:sz w:val="18"/>
          <w:szCs w:val="18"/>
          <w:color w:val="auto"/>
        </w:rPr>
        <w:t>. Information contained on, or that can be accessed through, our website does not constitute part of this prospectus, and the inclusion of our website address in this prospectus is an inactive textual reference only. Investors should not rely on any such information in deciding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920"/>
          </w:cols>
          <w:pgMar w:left="980" w:top="1440" w:right="999" w:bottom="1440" w:gutter="0" w:footer="0" w:header="0"/>
        </w:sectPr>
      </w:pPr>
    </w:p>
    <w:bookmarkStart w:id="6" w:name="page7"/>
    <w:bookmarkEnd w:id="6"/>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Before investing in our Class A common stock, you should carefully consider the risks set forth under the caption “Risk Factors” in our Registration Statement on Form S-1, as amended (File No. 333-295145), declared effective on May 13, 2026, which are incorporated by reference herein, and subsequent reports filed with the SEC, together with the financial and other information contained or incorporated by reference in this prospectus. If any of the risks actually occur, our business, financial condition, results of operations, and prospects could be harmed. In that event, the trading price of our Class A common stock could decline, and you could lose part or all of your investment. Additional risks and uncertainties not presently known to us or that we currently deem immaterial also may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189" w:lineRule="exact"/>
        <w:rPr>
          <w:sz w:val="20"/>
          <w:szCs w:val="20"/>
          <w:color w:val="auto"/>
        </w:rPr>
      </w:pPr>
    </w:p>
    <w:p>
      <w:pPr>
        <w:ind w:left="640" w:hanging="313"/>
        <w:spacing w:after="0" w:line="277"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cash flows, expenses, gross margins, and other results of operations;</w:t>
      </w:r>
    </w:p>
    <w:p>
      <w:pPr>
        <w:spacing w:after="0" w:line="1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grow our customer base;</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retain existing customers, and other significant customers, and expand sales within our existing customer base;</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performance of our offerings;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and finance data center capacity in geographies and on the timelines we desire on commercially reasonable terms;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relationships with our third-party suppliers and manufacturers;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offerings, adding new product capabilities, and our technology and product roadmap;</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developing and enhancing our business;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expand;</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manufacturing, or product defects;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business, our anticipated capital expenditures, and our estimates regarding our capital requirements;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addressable market opportunity;</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projected growth, or trend analysis, particularly as it relates to AI compute;</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sales and marketing efforts;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senior management team and our ability to identify, recruit, and retain skilled personnel;</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 rights and any costs associated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8" w:name="page9"/>
    <w:bookmarkEnd w:id="8"/>
    <w:p>
      <w:pPr>
        <w:spacing w:after="0" w:line="178" w:lineRule="exact"/>
        <w:rPr>
          <w:sz w:val="20"/>
          <w:szCs w:val="20"/>
          <w:color w:val="auto"/>
        </w:rPr>
      </w:pPr>
    </w:p>
    <w:p>
      <w:pPr>
        <w:ind w:left="640" w:hanging="313"/>
        <w:spacing w:after="0" w:line="277"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both in the United States and internationally;</w:t>
      </w:r>
    </w:p>
    <w:p>
      <w:pPr>
        <w:spacing w:after="0" w:line="1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other macroeconomic factors, such as tariffs, the cost of power, fluctuating interest rates and rising inflation; and</w:t>
      </w:r>
    </w:p>
    <w:p>
      <w:pPr>
        <w:spacing w:after="0" w:line="22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changes or tensions, political conflicts, and other global financial, economic, and political events and wars on our industry, customers, business, financial condition, results of operations, and prospects and any global pandemics or health crises.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prospectus.</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prospectus primarily on our current expectations, estimates, forecasts, and projections about future events and trends that we believe may affect our business, financial condition, results of operations, and prospects.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with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All proceeds from the sale of the Shares will be for the account of the Selling Stockholders, as described below. See the sections titled “Selling Stockholders” and “Plan of Distribution”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sets forth information regarding beneficial ownership of our common stock as of May 13, 2026, as adjusted to reflect the Shares that may be sold from time to time pursuant to this prospectus, for all Selling Stockholders, consisting of the individuals shown as having shares listed in the column entitled “Shares Being Offered.”</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offered by the Selling Stockholders hereunder include an aggregate of 6,808,018 shares of Class A common stock issuable to the Selling Stockholders upon the conversion of shares of Class B common stock held by such Selling Stockholders, of which (i) 1,319,861 shares of Class B common stock are issuable to the Selling Stockholders pursuant to the settlement of RSUs held by such Selling Stockholders and (ii) 5,488,157 shares of Class B common stock were issued to such Selling Stockholders pursuant to the settlement of RSUs and/or exercise of options, in each case, acquired by the Selling Stockholders under the 2016 Plan.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the shares issuable pursuant to stock options that are exercisable within 60 days of May 13, 2026 or issuable pursuant to RSUs or performance-based RSUs, which are subject to vesting and settlement conditions expected to occur within 60 days of May 13, 2026. Shares issuable pursuant to stock options are deemed outstanding for computing the percentage of the person holding such options but are not outstanding for computing the percentage of any other person.</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Unless otherwise indicated below, to our knowledge, the persons and entities named in the table have sole voting and sole investment power with respect to all shares that they beneficially owned as of May 13, 2026, subject to community property laws where applicable.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based percentage ownership of our common stock before this offering on 30,000,000 shares of our Class A common stock, 185,613,148 shares of our Class B common stock, and 3,682,000 shares of our Class N common stock, par value $0.0001 per share, outstanding as of May 13, 2026, and includes:</w:t>
      </w:r>
    </w:p>
    <w:p>
      <w:pPr>
        <w:spacing w:after="0" w:line="163" w:lineRule="exact"/>
        <w:rPr>
          <w:sz w:val="20"/>
          <w:szCs w:val="20"/>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filing, and effectiveness of our amended and restated certificate of incorporation and the adoption of our amended and restated bylaws, each of which will occur prior to the closing of our initial public offering;</w:t>
      </w:r>
    </w:p>
    <w:p>
      <w:pPr>
        <w:spacing w:after="0" w:line="16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conversion of all outstanding shares of our redeemable convertible preferred stock into an aggregate of 124,652,775 shares of our newly created Class B common stock, which will occur prior to the closing of our initial public offering;</w:t>
      </w:r>
    </w:p>
    <w:p>
      <w:pPr>
        <w:spacing w:after="0" w:line="16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our outstanding Class A common stock into a newly created Class B common stock and the authorization of a new Class A common stock, which will occur prior to the closing of our initial public offering;</w:t>
      </w:r>
    </w:p>
    <w:p>
      <w:pPr>
        <w:spacing w:after="0" w:line="163" w:lineRule="exact"/>
        <w:rPr>
          <w:rFonts w:ascii="Times New Roman" w:cs="Times New Roman" w:eastAsia="Times New Roman" w:hAnsi="Times New Roman"/>
          <w:sz w:val="18"/>
          <w:szCs w:val="18"/>
          <w:color w:val="auto"/>
        </w:rPr>
      </w:pPr>
    </w:p>
    <w:p>
      <w:pPr>
        <w:jc w:val="both"/>
        <w:ind w:left="640" w:hanging="313"/>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issuance of 2,550,477 shares of our Class B common stock issuable upon the vesting and settlement of RSUs subject to service-based and liquidity-based vesting conditions outstanding as of May 13, 2026, for which the service-based vesting condition was satisfied as of May 13, 2026 and for which the liquidity-based vesting condition was satisfied in connection with our initial public offering, after giving effect to the withholding of an estimated 2,249,088 shares to satisfy estimated tax withholding and remittance obligations (based on individual tax withholding elections) (the “RSU Net Settlement”); and</w:t>
      </w:r>
    </w:p>
    <w:p>
      <w:pPr>
        <w:spacing w:after="0" w:line="182"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30,000,000 shares of Class A common stock by us in our initial public offering and no exercise by the underwriters of our initial public offering of their option to purchase up to 4,500,000 shares of Class A common stock.</w:t>
      </w:r>
    </w:p>
    <w:p>
      <w:pPr>
        <w:spacing w:after="0" w:line="16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Unless otherwise indicated, the business address of each beneficial owner listed below is c/o Cerebras Systems Inc., 1237 E. Arques Avenue, Sunnyvale, California 94085.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Shares Beneficially Owned Prior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Shares Being</w:t>
            </w:r>
          </w:p>
        </w:tc>
        <w:tc>
          <w:tcPr>
            <w:tcW w:w="318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Shares Beneficially Owned After</w:t>
            </w:r>
          </w:p>
        </w:tc>
      </w:tr>
      <w:tr>
        <w:trPr>
          <w:trHeight w:val="200"/>
        </w:trPr>
        <w:tc>
          <w:tcPr>
            <w:tcW w:w="3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tcBorders>
              <w:bottom w:val="single" w:sz="8" w:color="auto"/>
            </w:tcBorders>
            <w:gridSpan w:val="3"/>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to the Offering</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b w:val="1"/>
                <w:bCs w:val="1"/>
                <w:color w:val="auto"/>
                <w:w w:val="91"/>
              </w:rPr>
              <w:t>Offered</w:t>
            </w:r>
            <w:r>
              <w:rPr>
                <w:rFonts w:ascii="Times New Roman" w:cs="Times New Roman" w:eastAsia="Times New Roman" w:hAnsi="Times New Roman"/>
                <w:sz w:val="18"/>
                <w:szCs w:val="18"/>
                <w:b w:val="1"/>
                <w:bCs w:val="1"/>
                <w:color w:val="auto"/>
                <w:w w:val="91"/>
                <w:vertAlign w:val="superscript"/>
              </w:rPr>
              <w:t>(1)(2)</w:t>
            </w:r>
          </w:p>
        </w:tc>
        <w:tc>
          <w:tcPr>
            <w:tcW w:w="100" w:type="dxa"/>
            <w:vAlign w:val="bottom"/>
          </w:tcPr>
          <w:p>
            <w:pPr>
              <w:spacing w:after="0"/>
              <w:rPr>
                <w:sz w:val="17"/>
                <w:szCs w:val="17"/>
                <w:color w:val="auto"/>
              </w:rPr>
            </w:pPr>
          </w:p>
        </w:tc>
        <w:tc>
          <w:tcPr>
            <w:tcW w:w="3180" w:type="dxa"/>
            <w:vAlign w:val="bottom"/>
            <w:tcBorders>
              <w:bottom w:val="single" w:sz="8" w:color="auto"/>
            </w:tcBorders>
            <w:gridSpan w:val="3"/>
          </w:tcPr>
          <w:p>
            <w:pPr>
              <w:jc w:val="right"/>
              <w:ind w:right="1073"/>
              <w:spacing w:after="0" w:line="201" w:lineRule="exact"/>
              <w:rPr>
                <w:sz w:val="20"/>
                <w:szCs w:val="20"/>
                <w:color w:val="auto"/>
              </w:rPr>
            </w:pPr>
            <w:r>
              <w:rPr>
                <w:rFonts w:ascii="Times New Roman" w:cs="Times New Roman" w:eastAsia="Times New Roman" w:hAnsi="Times New Roman"/>
                <w:sz w:val="14"/>
                <w:szCs w:val="14"/>
                <w:b w:val="1"/>
                <w:bCs w:val="1"/>
                <w:color w:val="auto"/>
              </w:rPr>
              <w:t>the Offering</w:t>
            </w:r>
            <w:r>
              <w:rPr>
                <w:rFonts w:ascii="Times New Roman" w:cs="Times New Roman" w:eastAsia="Times New Roman" w:hAnsi="Times New Roman"/>
                <w:sz w:val="18"/>
                <w:szCs w:val="18"/>
                <w:b w:val="1"/>
                <w:bCs w:val="1"/>
                <w:color w:val="auto"/>
                <w:vertAlign w:val="superscript"/>
              </w:rPr>
              <w:t>(3)</w:t>
            </w:r>
          </w:p>
        </w:tc>
      </w:tr>
      <w:tr>
        <w:trPr>
          <w:trHeight w:val="207"/>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Stockholder</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8"/>
                <w:szCs w:val="18"/>
                <w:b w:val="1"/>
                <w:bCs w:val="1"/>
                <w:color w:val="auto"/>
                <w:vertAlign w:val="superscript"/>
              </w:rPr>
              <w:t>(4)</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r>
              <w:rPr>
                <w:rFonts w:ascii="Times New Roman" w:cs="Times New Roman" w:eastAsia="Times New Roman" w:hAnsi="Times New Roman"/>
                <w:sz w:val="18"/>
                <w:szCs w:val="18"/>
                <w:b w:val="1"/>
                <w:bCs w:val="1"/>
                <w:color w:val="auto"/>
                <w:vertAlign w:val="superscript"/>
              </w:rPr>
              <w:t>(4)</w:t>
            </w:r>
          </w:p>
        </w:tc>
      </w:tr>
      <w:tr>
        <w:trPr>
          <w:trHeight w:val="220"/>
        </w:trPr>
        <w:tc>
          <w:tcPr>
            <w:tcW w:w="318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6"/>
                <w:szCs w:val="16"/>
                <w:color w:val="auto"/>
              </w:rPr>
              <w:t>Andrew D. Feldman</w:t>
            </w:r>
            <w:r>
              <w:rPr>
                <w:rFonts w:ascii="Times New Roman" w:cs="Times New Roman" w:eastAsia="Times New Roman" w:hAnsi="Times New Roman"/>
                <w:sz w:val="20"/>
                <w:szCs w:val="20"/>
                <w:color w:val="auto"/>
                <w:vertAlign w:val="superscript"/>
              </w:rPr>
              <w:t>(5)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10,074,456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9,927,607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7"/>
        </w:trPr>
        <w:tc>
          <w:tcPr>
            <w:tcW w:w="31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6"/>
                <w:szCs w:val="16"/>
                <w:color w:val="auto"/>
              </w:rPr>
              <w:t>Sean Lie</w:t>
            </w:r>
            <w:r>
              <w:rPr>
                <w:rFonts w:ascii="Times New Roman" w:cs="Times New Roman" w:eastAsia="Times New Roman" w:hAnsi="Times New Roman"/>
                <w:sz w:val="20"/>
                <w:szCs w:val="20"/>
                <w:color w:val="auto"/>
                <w:vertAlign w:val="superscript"/>
              </w:rPr>
              <w:t>(6)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5,405,270</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5,276,188</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7"/>
        </w:trPr>
        <w:tc>
          <w:tcPr>
            <w:tcW w:w="318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color w:val="auto"/>
              </w:rPr>
              <w:t>Dhiraj Mallick</w:t>
            </w:r>
            <w:r>
              <w:rPr>
                <w:rFonts w:ascii="Times New Roman" w:cs="Times New Roman" w:eastAsia="Times New Roman" w:hAnsi="Times New Roman"/>
                <w:sz w:val="20"/>
                <w:szCs w:val="20"/>
                <w:color w:val="auto"/>
                <w:vertAlign w:val="superscript"/>
              </w:rPr>
              <w:t>(7)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1,864,506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651,998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1,231,953</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1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6"/>
                <w:szCs w:val="16"/>
                <w:color w:val="auto"/>
              </w:rPr>
              <w:t>Robert Komin</w:t>
            </w:r>
            <w:r>
              <w:rPr>
                <w:rFonts w:ascii="Times New Roman" w:cs="Times New Roman" w:eastAsia="Times New Roman" w:hAnsi="Times New Roman"/>
                <w:sz w:val="20"/>
                <w:szCs w:val="20"/>
                <w:color w:val="auto"/>
                <w:vertAlign w:val="superscript"/>
              </w:rPr>
              <w:t>(8)</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972,401</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193,248</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18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color w:val="auto"/>
              </w:rPr>
              <w:t>Paul Auvil</w:t>
            </w:r>
            <w:r>
              <w:rPr>
                <w:rFonts w:ascii="Times New Roman" w:cs="Times New Roman" w:eastAsia="Times New Roman" w:hAnsi="Times New Roman"/>
                <w:sz w:val="20"/>
                <w:szCs w:val="20"/>
                <w:color w:val="auto"/>
                <w:vertAlign w:val="superscript"/>
              </w:rPr>
              <w:t>(9)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31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6"/>
                <w:szCs w:val="16"/>
                <w:color w:val="auto"/>
              </w:rPr>
              <w:t>Gary Lauterbach</w:t>
            </w:r>
            <w:r>
              <w:rPr>
                <w:rFonts w:ascii="Times New Roman" w:cs="Times New Roman" w:eastAsia="Times New Roman" w:hAnsi="Times New Roman"/>
                <w:sz w:val="20"/>
                <w:szCs w:val="20"/>
                <w:color w:val="auto"/>
                <w:vertAlign w:val="superscript"/>
              </w:rPr>
              <w:t>(10)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4,984,544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4,906,050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7"/>
        </w:trPr>
        <w:tc>
          <w:tcPr>
            <w:tcW w:w="318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color w:val="auto"/>
              </w:rPr>
              <w:t>Michael James</w:t>
            </w:r>
            <w:r>
              <w:rPr>
                <w:rFonts w:ascii="Times New Roman" w:cs="Times New Roman" w:eastAsia="Times New Roman" w:hAnsi="Times New Roman"/>
                <w:sz w:val="20"/>
                <w:szCs w:val="20"/>
                <w:color w:val="auto"/>
                <w:vertAlign w:val="superscript"/>
              </w:rPr>
              <w:t>(11)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4,582,206</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4,422,531</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7"/>
        </w:trPr>
        <w:tc>
          <w:tcPr>
            <w:tcW w:w="31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16"/>
                <w:szCs w:val="16"/>
                <w:color w:val="auto"/>
              </w:rPr>
              <w:t>Jean-Philippe Fricker</w:t>
            </w:r>
            <w:r>
              <w:rPr>
                <w:rFonts w:ascii="Times New Roman" w:cs="Times New Roman" w:eastAsia="Times New Roman" w:hAnsi="Times New Roman"/>
                <w:sz w:val="20"/>
                <w:szCs w:val="20"/>
                <w:color w:val="auto"/>
                <w:vertAlign w:val="superscript"/>
              </w:rPr>
              <w:t>(12)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2,952,133</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2,921,730</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3180" w:type="dxa"/>
            <w:vAlign w:val="bottom"/>
            <w:gridSpan w:val="2"/>
            <w:shd w:val="clear" w:color="auto" w:fill="CCEEFF"/>
          </w:tcPr>
          <w:p>
            <w:pPr>
              <w:ind w:left="20"/>
              <w:spacing w:after="0" w:line="227" w:lineRule="exact"/>
              <w:rPr>
                <w:sz w:val="20"/>
                <w:szCs w:val="20"/>
                <w:color w:val="auto"/>
              </w:rPr>
            </w:pPr>
            <w:r>
              <w:rPr>
                <w:rFonts w:ascii="Times New Roman" w:cs="Times New Roman" w:eastAsia="Times New Roman" w:hAnsi="Times New Roman"/>
                <w:sz w:val="16"/>
                <w:szCs w:val="16"/>
                <w:color w:val="auto"/>
              </w:rPr>
              <w:t>Other Named Selling Stockholders</w:t>
            </w:r>
            <w:r>
              <w:rPr>
                <w:rFonts w:ascii="Times New Roman" w:cs="Times New Roman" w:eastAsia="Times New Roman" w:hAnsi="Times New Roman"/>
                <w:sz w:val="20"/>
                <w:szCs w:val="20"/>
                <w:color w:val="auto"/>
                <w:vertAlign w:val="superscript"/>
              </w:rPr>
              <w:t>(13)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24,040,247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4,531,575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19,879,352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89"/>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Selling Stockholders</w:t>
            </w:r>
            <w:r>
              <w:rPr>
                <w:rFonts w:ascii="Times New Roman" w:cs="Times New Roman" w:eastAsia="Times New Roman" w:hAnsi="Times New Roman"/>
                <w:sz w:val="20"/>
                <w:szCs w:val="20"/>
                <w:color w:val="auto"/>
                <w:vertAlign w:val="superscript"/>
              </w:rPr>
              <w:t>(14)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10,103,220</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47,523</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10,062,538</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7"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our Class A common stock offered under this prospectus.</w:t>
      </w:r>
    </w:p>
    <w:p>
      <w:pPr>
        <w:spacing w:after="0" w:line="6" w:lineRule="exact"/>
        <w:rPr>
          <w:rFonts w:ascii="Times New Roman" w:cs="Times New Roman" w:eastAsia="Times New Roman" w:hAnsi="Times New Roman"/>
          <w:sz w:val="18"/>
          <w:szCs w:val="18"/>
          <w:color w:val="auto"/>
        </w:rPr>
      </w:pPr>
    </w:p>
    <w:p>
      <w:pPr>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being offered does not give effect to applicable vesting and other resale restrictions under the 2016 Plan and/or applicable agreements to which a Selling Stockholder may be a party.</w:t>
      </w:r>
    </w:p>
    <w:p>
      <w:pPr>
        <w:spacing w:after="0" w:line="1" w:lineRule="exact"/>
        <w:rPr>
          <w:rFonts w:ascii="Times New Roman" w:cs="Times New Roman" w:eastAsia="Times New Roman" w:hAnsi="Times New Roman"/>
          <w:sz w:val="18"/>
          <w:szCs w:val="18"/>
          <w:color w:val="auto"/>
        </w:rPr>
      </w:pPr>
    </w:p>
    <w:p>
      <w:pPr>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of the Shares held by each Selling Stockholder and being offered under this prospectus are sold, and that no Selling Stockholder will acquire additional shares of common stock before the completion of this offering.</w:t>
      </w:r>
    </w:p>
    <w:p>
      <w:pPr>
        <w:spacing w:after="0" w:line="1" w:lineRule="exact"/>
        <w:rPr>
          <w:rFonts w:ascii="Times New Roman" w:cs="Times New Roman" w:eastAsia="Times New Roman" w:hAnsi="Times New Roman"/>
          <w:sz w:val="18"/>
          <w:szCs w:val="18"/>
          <w:color w:val="auto"/>
        </w:rPr>
      </w:pPr>
    </w:p>
    <w:p>
      <w:pPr>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this percentage, includes the aggregate number of shares of Class A common stock and Class B common stock held by the holders.</w:t>
      </w:r>
    </w:p>
    <w:p>
      <w:pPr>
        <w:spacing w:after="0" w:line="1"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7,296,357 shares of Class B common stock; (ii) 103,353 shares of Class B common stock issued pursuant to the RSU Net Settlement; (iii) 50,000 shares of Class B common stock held in a grantor retained annuity trust of which Mr. Feldman is the trustee; (iv) 50,000 shares of Class B common stock held in a grantor retained annuity trust of which Mr. Feldman’s spouse is the trustee; (v) 2,531,250 shares underlying options to purchase shares of Class B common stock that are exercisable within 60 days of May 13, 2026; and (vi) an additional 43,496 shares that may be acquired upon the settlement of outstanding RSUs within 60 days of May 13, 2026.</w:t>
      </w:r>
    </w:p>
    <w:p>
      <w:pPr>
        <w:spacing w:after="0" w:line="3"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4,089,338 shares of Class B common stock; (ii) 94,376 shares of Class B common stock issued pursuant to the RSU Net Settlement; (iii) 180,600 shares of Class B common stock held by Mr. Lie’s spouse; (iv) 1,006,250 shares underlying options to purchase shares of Class B common stock that are exercisable within 60 days of May 13, 2026; and (v) an additional 34,706 shares that may be acquired upon the settlement of outstanding RSUs within 60 days of May 13, 2026.</w:t>
      </w:r>
    </w:p>
    <w:p>
      <w:pPr>
        <w:spacing w:after="0" w:line="2" w:lineRule="exact"/>
        <w:rPr>
          <w:rFonts w:ascii="Times New Roman" w:cs="Times New Roman" w:eastAsia="Times New Roman" w:hAnsi="Times New Roman"/>
          <w:sz w:val="18"/>
          <w:szCs w:val="18"/>
          <w:color w:val="auto"/>
        </w:rPr>
      </w:pPr>
    </w:p>
    <w:p>
      <w:pPr>
        <w:jc w:val="both"/>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118,089 shares of Class B common stock; (ii) 475,575 shares of Class B common stock issued pursuant to the RSU Net Settlement; (iii) 1,231,953 shares underlying options to purchase shares of Class B common stock that are exercisable within 60 days of May 13, 2026; and (iii) an additional 38,889 shares that may be acquired upon the settlement of outstanding RSUs within 60 days of May 13, 2026.</w:t>
      </w:r>
    </w:p>
    <w:p>
      <w:pPr>
        <w:spacing w:after="0" w:line="2" w:lineRule="exact"/>
        <w:rPr>
          <w:rFonts w:ascii="Times New Roman" w:cs="Times New Roman" w:eastAsia="Times New Roman" w:hAnsi="Times New Roman"/>
          <w:sz w:val="18"/>
          <w:szCs w:val="18"/>
          <w:color w:val="auto"/>
        </w:rPr>
      </w:pPr>
    </w:p>
    <w:p>
      <w:pPr>
        <w:ind w:left="320" w:hanging="313"/>
        <w:spacing w:after="0" w:line="247"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779,153 shares of Class B common stock; (ii) 175,000 shares of Class B common stock held in a trust; and (iii) 18,248 shares underlying options to purchase shares of Class B common stock that are exercisable within 60 days of May 13, 2026.</w:t>
      </w:r>
    </w:p>
    <w:p>
      <w:pPr>
        <w:spacing w:after="0" w:line="1"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203,750 shares of Class B common stock.</w:t>
      </w:r>
    </w:p>
    <w:p>
      <w:pPr>
        <w:spacing w:after="0" w:line="6"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78,494 shares of Class B common stock and (ii) 4,906,050 shares of Class B common stock held in a trust.</w:t>
      </w:r>
    </w:p>
    <w:p>
      <w:pPr>
        <w:spacing w:after="0" w:line="6"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 3,768,575 shares of Class B common stock; (ii) 19,986 shares of Class B common stock issued pursuant to the RSU Net Settlement; (iii) 783,228 shares underlying options to purchase shares of Class B common stock that are exercisable within 60 days of May 13, 2026; and (iv) an additional 10,417 shares that may be acquired upon the settlement of outstanding RSUs within 60 days of May 13, 2026.</w:t>
      </w:r>
    </w:p>
    <w:p>
      <w:pPr>
        <w:ind w:left="320" w:hanging="313"/>
        <w:spacing w:after="0" w:line="255"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434,512 shares of Class B common stock; (ii) 19,986 shares of Class B common stock issued pursuant to the RSU Net Settlement; (iii) 2,200,560 shares of Class B common stock held in a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8" w:lineRule="exact"/>
        <w:rPr>
          <w:sz w:val="20"/>
          <w:szCs w:val="20"/>
          <w:color w:val="auto"/>
        </w:rPr>
      </w:pPr>
    </w:p>
    <w:p>
      <w:pPr>
        <w:ind w:left="320"/>
        <w:spacing w:after="0" w:line="258" w:lineRule="auto"/>
        <w:rPr>
          <w:sz w:val="20"/>
          <w:szCs w:val="20"/>
          <w:color w:val="auto"/>
        </w:rPr>
      </w:pPr>
      <w:r>
        <w:rPr>
          <w:rFonts w:ascii="Times New Roman" w:cs="Times New Roman" w:eastAsia="Times New Roman" w:hAnsi="Times New Roman"/>
          <w:sz w:val="18"/>
          <w:szCs w:val="18"/>
          <w:color w:val="auto"/>
        </w:rPr>
        <w:t>(iv) 286,658 shares underlying options to purchase shares of Class B common stock that are exercisable within 60 days of May 13, 2026; and (v) an additional 10,417 shares that may be acquired upon the settlement of outstanding RSUs within 60 days of May 13, 2026.</w:t>
      </w:r>
    </w:p>
    <w:p>
      <w:pPr>
        <w:spacing w:after="0" w:line="1" w:lineRule="exact"/>
        <w:rPr>
          <w:sz w:val="20"/>
          <w:szCs w:val="20"/>
          <w:color w:val="auto"/>
        </w:rPr>
      </w:pPr>
    </w:p>
    <w:p>
      <w:pPr>
        <w:jc w:val="both"/>
        <w:ind w:left="320" w:hanging="313"/>
        <w:spacing w:after="0" w:line="263" w:lineRule="auto"/>
        <w:tabs>
          <w:tab w:leader="none" w:pos="30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following 557 named non-affiliate persons, each of whom holds at least 1,000 shares of our common stock: Aaron Kogon, Aaron Lane, Aaron Tan, Aarti Ghatkesar, Abed Yassine, Abhishek Joshi, Abhishek Tiwari, Abhishek Tiwari, Abin Asaf, Adam Adli, Adam Procter, Aditya Mahale, Adrian Shvay, Agam Brahma, Ahmed Elkoushy, Ahmed Frikha, Ahsan Gilani, Alaa Aboeloula, Alankar Chhabra, Alec McLean, Alec Wong, Aleksander Kozlov, Aleksandr Ryabov, Alex Rodionov, Alex Weaver, Alexander Boyd, Alexander Us, Alexander Varel, Alexander Vishnevskiy, Alexandra Hoster, Alexandros Tsaptsinos, Ali Hussain, Ali Salehiomran, Alireza Mellat, Alisa Scherer, Allen Hsueh, Alvin Gao, Alvin Jee, Amaan Dhada, Amal Bhatt, Amirali Sharifian, Amirhossein Shahshahani, Amit Kumar Yajurvedi, Amit Paz, Anand Kodnani, Andrei-Mihai Hagiescu-Miriste, Andrew Aasheim Leven, Andrew Fetter, Andrew Hock, Andrew Rae, Andrew Wiggin, Angel Zhang, Angela Yeung, Anirudh Subramanian, Anis Shaikh, Anisha Garg, Ankit Jain, Ankur Aggarwal, Annan Ma, Anshul Samar, Anthony Landsberg, Anthony Maslowski, Antoine Petitet, Anton Zabaznov, Antonio Kim, Anuj Agrawal, Anurag Prakash, Anush Shankar, Aocheng Ryan Wei, Apoorv Pandey, Ariel Cap, Arjun Sitaram, Arpan Kumar, Arul Davidson, Arun Kumar Patil, Arun Soman, Arun Viswanathan, Asher Dayanim, Ashish Chaudhari, Athanasios Konstantinidis, Atharva Talpade, Atharva Tawde, Austin Young, Avraham Sheinin, Balachandra Shanabhag, Balajee Muggalla, Balaji Iyer, Balakumaran GR, Bangalore Ashok, Behzad Abghari, Ben Duggan, Bendik Kleveland, Benjamin Wilkins, Bharath Krishna Balaji, Bhargav Kanakiya, Bin Zhang, Biswajit Mishra, Blair Smith, Bo Bao, Boyu Liu, Brandon Kang, Brian McCandless, Brian Ngo, Bruce Farpelha, Bruce XU, Catherine Villarreal, CC Obi-Gwacham, Chandrasekhar Poorna, Changdee Wang, Changqing Tang, Chen-Yu Leong, Chinmayee Nitin Purohit, Chris Steinbroner, Christopher Bavoukian, Christopher Ing, Christopher Monardo, Chuan Ye, Chun Lin Min, Colin Duffie, Connor Anderson, Damodar Sahasrabudhe, Daniel Ang, Daniel Johnathan Fitzpatrick, Daniel Neville, Daria Soboleva, David Bick, David Gens, David Greene, David Greenhill, David Milton, David Samuel Goldman, David Sarson, Deepa Venkatesan, Deepak Padmanabhan, Delyan Kalchev, Dennis Decoste, Devin Sundaram, Devul Ashok Nahar, Diana Saca, Dimitriy Tomilovskiy, Dipanjan Sengupta, Dmitrii Riabtsev, Dmitry Gaynullin, Dmitry Gorokhov, Donggyun Kim, Dongping Zhang, Doug Duval, Duncan Hoskinson, Duong (Justin) Lu, Dylan Finch, Eden Wu, Edward Gletski, Eizer Queja, Ekaterina Aidova, Eli Rosenberg, Elif Albuz, Emma Call, Engin Tekin, Eric Franzen, Eric James Gardner, Eric Phillips, Eric Sather, Erika Foote, Evgeniia Nugmanova, Evgeny Osovetsky, Evren Tumer, Fabian Bazan, Faisal Al-Khateeb, Frank Jun, Ganesh Venkatesh, Gaurav Kumar, Gennette Gill, Georgios Sarakakis, Girish Sarveiya, Gleb Kazantaev, Gokulakrishnan Ramakrishnan, Golara Ahmadi Azar, Gopalakrishnan Sundararajan, Griffin Marge, Gurpreet Gosal, Hagay Lupesko, Hai Ching Yang, Hai Nguyen, Halim Amer, Harinath Kamepalli, Harivardhana Reddy, Henry Tu, Hiren Madhavani, Hoang Tran, Hrushikesh Pataskar, Hui Er, Hui Zeng, Ibrahim Fazili, Ibrahim Saidoun, Ilia Lavrenov, Ilya Sharapov, Indira DeWinter, Isaac Tai, Isaac Weintraub, Ishaan Verma, Ishita Chaturvedi, Ivan Lazarevich, Ivan Reynoso Barba, Jai Dayal, James (Jimmy) Lee, James Bauman, James Meijers, James Wang, Jan Michael Kubr, Janani Kadaiyur Sampathkumar, Janat Nansubuga, Jane Xue, Jason Elsted, Jason Thong, Jason Wolfe, Jason Wong, Jaspreet Singh, Jayden Arquelada, Jean-Christophe Estoup, Jean-Yves Vet, Jeff Bell, Jeffrey Da Silva, Jeffrey Ebert, Jenil Hemanshu Mahetalia, Jeshua Gustafson, Jessica Liu, Jielun Tan, Jochen Spengler, Jodi A Lemos, Joel Hestness, Jonathan I Helm, Jonathan Lilley, Jordan Fang, Joseph Choe, Joseph Garvey, Joshua Henry, Josue Castillo Valencia, Joy Kent, Juexiao Su, Julian Coles, Julie Choi, Junaid Shaik, Jungsoo Thery, Junjiang Li, Justin Elkow, Kais Kudrolli, Kaitlynn Crim, Kaleb Walton, Kanin Suphap, Karen Parker, Karthick Srinivasachary, Karthik Viswanathan Subramanian, Katherine Kowalski, Ke Deng, Keenan Zhuo, Keisuke Shimizu, Kevin Murray, Khalid Laban, Kimia Talaei Khoozani, Kyle Liddell, Kyle Yee, Lakshmi Ramachandran, Leighton Wilson, Leonardo Santos, Lichen Liu, Linda Thai, Lingxiao Zeng, Lizhao Liu, Longyi Qi, Lu Sun, Luigi Quattrociocchi, Luk Burchard, LungShen Chien, Magnus Haug, Mahesh Venkatraman, Mandeep Singh, Manish Mallan, Marc Spehlmann, Maria Luckyanova, Marie Vu, Mario Doumet, Mark Browning, Mark Mulhall, Mark Sheredy, Marvin Tom, Mathias Jacquelin, Matteo Belloni, Matthew Hulse, Maxim Mogilnitsky, Medel Dace, Melissa Medina, Michael Ciulla, Michael D'Angelo, Michael Farber, Michael Griffeth, Michael Morrison, Michael Nguyen, Michael Ross, Michael Theobald, Michal Smulski, Midhun Krishnan, Mike Gao, Milad Hakimi, Min Wang, Mingyao Cathy Chen, Minh Trieu, Minoo Mirsaeedi, Mohamed Helwa, Mohamed Soliman, Mohammad Javad Abdi, Mohammad Maneshian, Mohit Kumar, Monica Richardson, Morteza Rashidinia, Mostafa Elhoushi, Muhammad Khattak, Muhammed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8"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Yakubu, Naor Penso, Natalia Vasileva, Nathaniel Goulding-Hotta, Neal Sharma, Neeraj Khanna, Niccolo Bluhm, Nina Hoang, Ninad Desai, Ning Xie, Nishanth Sinnadurai, Njdeh Satourian, Noam Jacobson, Noble Athimattathil, Okram Guneshwor Singh, Oleg Petelin, Olindo Verrillo, Oliver Ousterman, Om Raheja, Omid Shams Solari, Osvaldo Calzada, Ozan Erdem, Patrick Bacalso, Patrick DeMichele, Patrick McCluskey, Paul Capetillo, Paul Kennedy, Paul Thilking, Pawel Filipczuk, Pearl Hulbert, Perry Wang, Peter Amirkhan, Peter Hu, Peter Nawbatt, Peter Oakham, Peter Yiannacouras, Phi Pham, Philip Ferolito, Philip Hedges, Philippe Vandermersch, Pietro Cicotti, Pietro Giuseppe Bressana, Piotr Luczynski, Prashant Sharma, Prasun Gera, Prateek Gupta, Purva Gaggar, Qin Zou, Quoc Anh Tran, Ragini Kumari, Rahul Ramaprasad, Rahul Shrivastava, Rajbir Singh, Ramy Jaber, Rebecca Boyden, Refael Fraiman, Reza Mokhtari, Ribhu Pathria, Ricardo Ramos, Ricky Yi, Rinik Kumar, Rishi Patel, Rita Geary, Ritesh Vajariya, Rithvik Ganesh, Rituraj Joshi, Riya Parte, Robert Cox, Robert Schultz, Robert Soule, Roger Riviere, Rohan Gupta, Rohit Kanagal, Roland Green, Rushin Shah, Russell Todd, Ryan Gold, Ryan Howard, Ryan Humble, Ryan Kierulf, Ryann Powell, Saahil Joshi, Sagar Sonar, Sai Krishna Rapolu, Salem Derisavi, Sam Mcphail, Sameh Attia, Samuel C Chang, Samuel M Yeung, Sanchit Raheja, Sang Phan, Sangamesh Ragate, Sanjeev Gadgil, Sapankumar Hiteshchandra Shah, Sarah Chieng, Sarah Josief, Sarath Chandran Muthuraj, Saravanan Baskaran, Satish Nanjappa, Saurabh Patel, Scott D Dang, Sean Dorsey, Sean Hansen, Sen Jen chen, Serdar Begnazarov, Sergey Lyalin, Sergey Yarygin, Sergiy Demchenko, Seyed Farzad Mousavi, Seyed Mehdi Iranmanesh, Shaheer Muhammad, Shamama Khattak, Shane Bergsma, Shaohui Ji, Shaoyi Peng, Shashi Ranjan Prakash, Shehnaz Islam, Shehroze Khan, Shi Dong, Shida He, Shirley Li, Shiva Pandit, Shivangi Mittal, Shivaprasad Acharya, Shreesha Srinath, Shubham Patil, Shuhao Chang, Shwetal Chandrakant Desai, Shwetank Singh, Sicong Zhuang, Sidharth Kumar, Silei Zhang, Simon So, Sirish Jetti, Siyun Li, Snehalata H Khanvilkar, Sophie Sun, Stephen Wadsworth, Steven Chu, Suchitra Chandran, Suhail Nimji, Sunitha Sadadev, Sven Verdoolaege, Sylvia Howland, Tan Gao, Tanmay Patil, Tanner Young-Schultz, Tanuj Kr Aasawat, Tanveer Raza, Tarik Dwiek, Tarun Arora, Terumi Katano, Theodore A Jepsen, Thiruvengadam Vijayaraghavan, Thomas Kidd, Thomas Lantzsch, Thomas Mullins, Tianjiao Sun, Tianxi Hu, Tianyi Dang, Tim Pifer, Todd Wilde, Tom Soulaire, Tomas Oppelstrup, Toru Kuzuhara, Trevis Chandler, Troy Rossi, Tzechiao Huong, Udai Mody, Uri Cummings, Vaibhav Chakki, Vaibhav Ramachandran, Valavan Manohararajah, Varun Agarwal, Venkatesh Abhishek Sharma, Victor Wong, Vignesh Ravi, Vigneshwar Meyyur Gopinath, Vijay HS, Vijay Thirugnanam, Vinay Srinivas, Vinaychandran Pondenkandath, Vipin Sharma, Vishal Raheja, Vishal Subbiah, Vishal Zinjuvadia, Vishwas Durai, Vithursan Thangarasa, Vladimir Kibardin, Vladimir Paramuzov, Vladimir Vlasyuk, Vladislav Shimanskiy, Warren Shum, Wei Shu, Wei Zhou, Wendy Wang, Will Chen, William R Peters, William Whitford, Winnie Kim Tran, Xi (Lexi) Zhang, Xi Chen, Xi Yue, Xiang Fang, Xiang James Zhang, Xiaofan Ruan, Xiaohang (Max) Zhao, Xing Ling, Xingliang Li, Xingxuan Huang, Xuejing Wu, Yagnesh Patel, Yan Daisy Hu, Yancheng Liu, Yara Halawi, Yautsun Li, Yi Fang Calande, Yifan Lu, Yifeng Zhang, Yishi Xu, Yiwen Dai, Yohann Uguen, Yo-Tzu Yeh, Yuanxin Wang, Yuen Ho Choi, Yunchul (Chris) Kim, Yunfei Ouyang, Yuriy Chemodakov, Yury Gorbachev, Yusef Zia, Yusen Lin, Yuxi June Cai, Yuxin Ye, Zakary Georgis-Yap, Zefei Ou, Zhi Li, Zhiming Chen, Zhiqi He, Zhiyuan Gu, Zigfrid Zvezdin, and Zihao Chen. Each of these persons beneficially owns less than 1% of our common stock. Certain of these persons are current or former directors, officers, other employees, or service providers of the Registrant.</w:t>
      </w:r>
    </w:p>
    <w:p>
      <w:pPr>
        <w:spacing w:after="0" w:line="198" w:lineRule="exact"/>
        <w:rPr>
          <w:sz w:val="20"/>
          <w:szCs w:val="20"/>
          <w:color w:val="auto"/>
        </w:rPr>
      </w:pPr>
    </w:p>
    <w:p>
      <w:pPr>
        <w:jc w:val="both"/>
        <w:ind w:left="320" w:hanging="313"/>
        <w:spacing w:after="0" w:line="251"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686 unnamed non-affiliate persons, each of whom holds less than 1,000 shares of our common stock and each of whom may sell up to such amount using this prospectus. Each of these persons beneficially owns less than 1% of our common stock. Certain of these persons are current or former employees and service providers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registering the Shares covered by this prospectus to permit the Selling Stockholders to conduct public secondary trading of these Shares from time to time after the date of this prospectus. We will not receive any of the proceeds of the sale of the Shares offered by this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prospectus. The Selling Stockholders reserve the right to accept and, together with their respective agents, to reject, any proposed purchases of Shares to be made directly or through agents.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offered by this prospectus may be sold from time to time to purchasers:</w:t>
      </w:r>
    </w:p>
    <w:p>
      <w:pPr>
        <w:spacing w:after="0" w:line="220"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Stockholders, or</w:t>
      </w:r>
    </w:p>
    <w:p>
      <w:pPr>
        <w:spacing w:after="0" w:line="220"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Stockholders or the purchasers of the Shares.</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Shares may be deemed to be “underwriters” within the meaning of the Securities Act. As a result, any discounts, commissions, or concessions received by any such broker-dealers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Securities Exchange Act of 1934, as amended (the “Exchange Act”). We will make copies of this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may be sold in one or more transactions at:</w:t>
      </w:r>
    </w:p>
    <w:p>
      <w:pPr>
        <w:spacing w:after="0" w:line="220" w:lineRule="exact"/>
        <w:rPr>
          <w:sz w:val="20"/>
          <w:szCs w:val="20"/>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220" w:lineRule="exact"/>
        <w:rPr>
          <w:sz w:val="20"/>
          <w:szCs w:val="20"/>
          <w:color w:val="auto"/>
        </w:rPr>
      </w:pPr>
    </w:p>
    <w:p>
      <w:pPr>
        <w:ind w:left="640" w:hanging="313"/>
        <w:spacing w:after="0" w:line="27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may be listed or quoted at the time of sale, including the Nasdaq Global Select Market;</w:t>
      </w:r>
    </w:p>
    <w:p>
      <w:pPr>
        <w:spacing w:after="0" w:line="16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2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the time a particular offering of the Shares is made, a prospectus supplement, if required, will be distributed, which will set forth the name of the Selling Stockholders, the aggregate amount of Shares being offered, and the terms of the offering, including, to the extent required, (1) 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Stockholders will act independently of us in making decisions with respect to the timing, manner, and size of each resale or other transfer. There can be no assurance that the Selling Stockholders will sell any or all of the Shares under this prospectus. Further, we cannot assure you that the Selling Stockholders will not transfer, distribute, devise, or gift the Shares by other means not described in this prospectus. In addition, any Shares covered by this prospectus that qualify for sale under Rule 144 of the Securities Act may be sold under Rule 144 rather than under this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Selling Stockholders may indemnify any broker or underwriter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Shares offered hereby has been passed upon by Latham &amp; Watkins LLP.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of Cerebras Systems Inc. as of December 31, 2025, and for the year then ended,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of Cerebras Systems Inc. as of December 31, 2024, and for the year then ended incorporated by reference in this prospectus and in the registration statement, have been so included in reliance on the report of BDO USA, P.C.,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filed with the SEC are hereby incorporated by reference in this prospectus:</w:t>
      </w:r>
    </w:p>
    <w:p>
      <w:pPr>
        <w:spacing w:after="0" w:line="220" w:lineRule="exact"/>
        <w:rPr>
          <w:sz w:val="20"/>
          <w:szCs w:val="20"/>
          <w:color w:val="auto"/>
        </w:rPr>
      </w:pPr>
    </w:p>
    <w:p>
      <w:pPr>
        <w:ind w:left="640" w:hanging="313"/>
        <w:spacing w:after="0" w:line="277" w:lineRule="auto"/>
        <w:tabs>
          <w:tab w:leader="none" w:pos="6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2 to the Registrant’s Registration Statement on Form S-1 filed with the SEC on </w:t>
      </w:r>
      <w:hyperlink r:id="rId14">
        <w:r>
          <w:rPr>
            <w:rFonts w:ascii="Times New Roman" w:cs="Times New Roman" w:eastAsia="Times New Roman" w:hAnsi="Times New Roman"/>
            <w:sz w:val="18"/>
            <w:szCs w:val="18"/>
            <w:u w:val="single" w:color="auto"/>
            <w:color w:val="0000FF"/>
          </w:rPr>
          <w:t>May 11,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333-295145), which contains the Registrant’s audited financial statements for the latest fiscal year for which such statements have been filed;</w:t>
      </w:r>
    </w:p>
    <w:p>
      <w:pPr>
        <w:spacing w:after="0" w:line="163" w:lineRule="exact"/>
        <w:rPr>
          <w:rFonts w:ascii="Times New Roman" w:cs="Times New Roman" w:eastAsia="Times New Roman" w:hAnsi="Times New Roman"/>
          <w:sz w:val="18"/>
          <w:szCs w:val="18"/>
          <w:color w:val="auto"/>
        </w:rPr>
      </w:pPr>
    </w:p>
    <w:p>
      <w:pPr>
        <w:ind w:left="640" w:hanging="313"/>
        <w:spacing w:after="0" w:line="277" w:lineRule="auto"/>
        <w:tabs>
          <w:tab w:leader="none" w:pos="6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Prospectus to be filed on or about May 14, 2026 pursuant to Rule 424(b) under the Securities Act, relating to the Registration Statement on Form S-1, as amended (File No. 333-295145); and</w:t>
      </w:r>
    </w:p>
    <w:p>
      <w:pPr>
        <w:spacing w:after="0" w:line="16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Form 8-A (File No. 001-43284), filed by the Registrant with the SEC under Section 12(b) of the Exchange Act on </w:t>
      </w:r>
      <w:hyperlink r:id="rId15">
        <w:r>
          <w:rPr>
            <w:rFonts w:ascii="Times New Roman" w:cs="Times New Roman" w:eastAsia="Times New Roman" w:hAnsi="Times New Roman"/>
            <w:sz w:val="18"/>
            <w:szCs w:val="18"/>
            <w:u w:val="single" w:color="auto"/>
            <w:color w:val="0000FF"/>
          </w:rPr>
          <w:t>May 11, 2026</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4" w:lineRule="exact"/>
        <w:rPr>
          <w:rFonts w:ascii="Times New Roman" w:cs="Times New Roman" w:eastAsia="Times New Roman" w:hAnsi="Times New Roman"/>
          <w:sz w:val="18"/>
          <w:szCs w:val="18"/>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corporate website at </w:t>
      </w:r>
      <w:r>
        <w:rPr>
          <w:rFonts w:ascii="Times New Roman" w:cs="Times New Roman" w:eastAsia="Times New Roman" w:hAnsi="Times New Roman"/>
          <w:sz w:val="18"/>
          <w:szCs w:val="18"/>
          <w:i w:val="1"/>
          <w:iCs w:val="1"/>
          <w:color w:val="auto"/>
        </w:rPr>
        <w:t>www.cerebras.ai</w:t>
      </w:r>
      <w:r>
        <w:rPr>
          <w:rFonts w:ascii="Times New Roman" w:cs="Times New Roman" w:eastAsia="Times New Roman" w:hAnsi="Times New Roman"/>
          <w:sz w:val="18"/>
          <w:szCs w:val="18"/>
          <w:color w:val="auto"/>
        </w:rPr>
        <w:t>. These filings will be available as soon as reasonably practicable after we electronically file such material with, or furnish it to, the SEC. Information contained on our website is not part of this prospectus.</w:t>
      </w:r>
    </w:p>
    <w:p>
      <w:pPr>
        <w:spacing w:after="0" w:line="187" w:lineRule="exact"/>
        <w:rPr>
          <w:rFonts w:ascii="Times New Roman" w:cs="Times New Roman" w:eastAsia="Times New Roman" w:hAnsi="Times New Roman"/>
          <w:sz w:val="18"/>
          <w:szCs w:val="18"/>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Registrant hereby undertakes to provide without charge to each person, including any beneficial owner, to whom a copy of this prospectus is delivered, upon written or oral request of any such person, a copy of any and all of the information that has been incorporated by reference in this prospectus but not delivered with the prospectus other than the exhibits to those documents, unless the exhibits are specifically incorporated by reference into the information that this prospectus incorporates. Requests for documents should be directed to Cerebras Systems Inc., 1237 E. Arques Avenue, Sunnyvale, California 94085, (650) 933-4980.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Registration Information and Employee Plan Annual Information.*</w:t>
      </w:r>
    </w:p>
    <w:p>
      <w:pPr>
        <w:spacing w:after="0" w:line="224" w:lineRule="exact"/>
        <w:rPr>
          <w:sz w:val="20"/>
          <w:szCs w:val="20"/>
          <w:color w:val="auto"/>
        </w:rPr>
      </w:pPr>
    </w:p>
    <w:p>
      <w:pPr>
        <w:jc w:val="both"/>
        <w:ind w:left="320" w:hanging="313"/>
        <w:spacing w:after="0" w:line="257"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called for in Part I of Form S-8 to be contained in the Section 10(a) prospectus is not being filed with or included in this Registration Statement (by incorporation by reference or otherwise) in accordance with the rules and regulations of the Securities and Exchange Commission (the “SEC”). The documents containing the information specified in Part I of Form S-8 will be delivered to the participants in the equity benefit plans covered by this Registration Statement as specified by Rule 428(b)(1) under the Securities Act of 1933, as amended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Certain Documents by Reference</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following documents filed by Cerebras Systems Inc. (the “Registrant”) with the Securities and Exchange Commission (the “SEC”) are incorporated by reference into this Registration Statement:</w:t>
      </w:r>
    </w:p>
    <w:p>
      <w:pPr>
        <w:spacing w:after="0" w:line="163" w:lineRule="exact"/>
        <w:rPr>
          <w:sz w:val="20"/>
          <w:szCs w:val="20"/>
          <w:color w:val="auto"/>
        </w:rPr>
      </w:pPr>
    </w:p>
    <w:p>
      <w:pPr>
        <w:ind w:left="640" w:hanging="313"/>
        <w:spacing w:after="0" w:line="277" w:lineRule="auto"/>
        <w:tabs>
          <w:tab w:leader="none" w:pos="6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2 to the Registrant’s Registration Statement on Form S-1 filed with the SEC on </w:t>
      </w:r>
      <w:hyperlink r:id="rId14">
        <w:r>
          <w:rPr>
            <w:rFonts w:ascii="Times New Roman" w:cs="Times New Roman" w:eastAsia="Times New Roman" w:hAnsi="Times New Roman"/>
            <w:sz w:val="18"/>
            <w:szCs w:val="18"/>
            <w:u w:val="single" w:color="auto"/>
            <w:color w:val="0000FF"/>
          </w:rPr>
          <w:t>May 11,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333-295145), which contains the Registrant’s audited financial statements for the latest fiscal year for which such statements have been filed;</w:t>
      </w:r>
    </w:p>
    <w:p>
      <w:pPr>
        <w:spacing w:after="0" w:line="163" w:lineRule="exact"/>
        <w:rPr>
          <w:rFonts w:ascii="Times New Roman" w:cs="Times New Roman" w:eastAsia="Times New Roman" w:hAnsi="Times New Roman"/>
          <w:sz w:val="18"/>
          <w:szCs w:val="18"/>
          <w:color w:val="auto"/>
        </w:rPr>
      </w:pPr>
    </w:p>
    <w:p>
      <w:pPr>
        <w:ind w:left="640" w:hanging="313"/>
        <w:spacing w:after="0" w:line="277" w:lineRule="auto"/>
        <w:tabs>
          <w:tab w:leader="none" w:pos="6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Prospectus to be filed on or about May 14, 2026 pursuant to Rule 424(b) under the Securities Act, relating to the Registration Statement on Form S-1, as amended (File No. 333-295145); and</w:t>
      </w:r>
    </w:p>
    <w:p>
      <w:pPr>
        <w:spacing w:after="0" w:line="163" w:lineRule="exact"/>
        <w:rPr>
          <w:rFonts w:ascii="Times New Roman" w:cs="Times New Roman" w:eastAsia="Times New Roman" w:hAnsi="Times New Roman"/>
          <w:sz w:val="18"/>
          <w:szCs w:val="18"/>
          <w:color w:val="auto"/>
        </w:rPr>
      </w:pPr>
    </w:p>
    <w:p>
      <w:pPr>
        <w:jc w:val="both"/>
        <w:ind w:left="640" w:hanging="313"/>
        <w:spacing w:after="0" w:line="262" w:lineRule="auto"/>
        <w:tabs>
          <w:tab w:leader="none" w:pos="6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Form 8-A (File No. 001-43284), filed by the Registrant with the SEC under Section 12(b) of the Exchange Act on </w:t>
      </w:r>
      <w:hyperlink r:id="rId15">
        <w:r>
          <w:rPr>
            <w:rFonts w:ascii="Times New Roman" w:cs="Times New Roman" w:eastAsia="Times New Roman" w:hAnsi="Times New Roman"/>
            <w:sz w:val="18"/>
            <w:szCs w:val="18"/>
            <w:u w:val="single" w:color="auto"/>
            <w:color w:val="0000FF"/>
          </w:rPr>
          <w:t>May 11, 2026</w:t>
        </w:r>
      </w:hyperlink>
      <w:r>
        <w:rPr>
          <w:rFonts w:ascii="Times New Roman" w:cs="Times New Roman" w:eastAsia="Times New Roman" w:hAnsi="Times New Roman"/>
          <w:sz w:val="18"/>
          <w:szCs w:val="18"/>
          <w:color w:val="auto"/>
        </w:rPr>
        <w:t>, including any amendment or report filed for the purpose of updating such description.</w:t>
      </w:r>
    </w:p>
    <w:p>
      <w:pPr>
        <w:spacing w:after="0" w:line="177" w:lineRule="exact"/>
        <w:rPr>
          <w:rFonts w:ascii="Times New Roman" w:cs="Times New Roman" w:eastAsia="Times New Roman" w:hAnsi="Times New Roman"/>
          <w:sz w:val="18"/>
          <w:szCs w:val="18"/>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4" w:lineRule="exact"/>
        <w:rPr>
          <w:rFonts w:ascii="Times New Roman" w:cs="Times New Roman" w:eastAsia="Times New Roman" w:hAnsi="Times New Roman"/>
          <w:sz w:val="18"/>
          <w:szCs w:val="18"/>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Registrant is governed by the General Corporation Law of the State of Delaware (the “Delaware General Corporation Law”). 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Article 8 of the Registrant’s amended and restated certificate of incorporation, which will become effective immediately prior to the completion of the Registrant’s initial public offering, provides for indemnification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 Registrant of its directors, officers, and employees to the fullest extent permitted by the Delaware General Corporation Law. The Registrant has entered into indemnification agreements with each of its current directors, executive officers, and certain other officers to provide these directors and officers additional contractual assurances regarding the scope of the indemnification set forth in the Registrant’s amended and restated certificate of incorporation and amended and restated bylaws and to provide additional procedural protections. As of the date of this Registration Statement, there is no pending litigation or proceeding involving a director or executive officer of the registrant for which indemnification is sought.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in the case of directors, for unlawful payments of dividends or unlawful stock repurchases, redemptions, or other distributions, or (iv) for any transaction from which the director or officer derived an improper personal benefit, provided that officers may not be indemnified for actions by or in the right of the corporation. The Registrant’s amended and restated certificate of incorporation provides for such limitation of liability.</w:t>
      </w:r>
    </w:p>
    <w:p>
      <w:pPr>
        <w:spacing w:after="0" w:line="1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that may be made by the Registrant to such officers and directors pursuant to the above indemnification provision or otherwise as a matter of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the Undertakings set forth in the response to Item 9 herein.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issuance of the Shares being offered by the Form S-8 resale prospectus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60" w:type="dxa"/>
            <w:vAlign w:val="bottom"/>
            <w:gridSpan w:val="19"/>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0"/>
        </w:trPr>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60" w:type="dxa"/>
            <w:vAlign w:val="bottom"/>
            <w:gridSpan w:val="1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780" w:type="dxa"/>
            <w:vAlign w:val="bottom"/>
            <w:tcBorders>
              <w:top w:val="single" w:sz="8" w:color="auto"/>
            </w:tcBorders>
            <w:gridSpan w:val="25"/>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Certificate of Incorporation, as amended,</w:t>
              </w:r>
            </w:hyperlink>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5"/>
          </w:tcPr>
          <w:p>
            <w:pPr>
              <w:spacing w:after="0" w:line="154" w:lineRule="exact"/>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0000FF"/>
                </w:rPr>
                <w:t>as currently in effect</w:t>
              </w:r>
            </w:hyperlink>
          </w:p>
        </w:tc>
        <w:tc>
          <w:tcPr>
            <w:tcW w:w="314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80" w:type="dxa"/>
            <w:vAlign w:val="bottom"/>
            <w:gridSpan w:val="25"/>
          </w:tcPr>
          <w:p>
            <w:pPr>
              <w:spacing w:after="0"/>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Form of Amended and Restated Certificate of Incorporation, to be</w:t>
              </w:r>
            </w:hyperlink>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7">
              <w:r>
                <w:rPr>
                  <w:rFonts w:ascii="Times New Roman" w:cs="Times New Roman" w:eastAsia="Times New Roman" w:hAnsi="Times New Roman"/>
                  <w:sz w:val="17"/>
                  <w:szCs w:val="17"/>
                  <w:color w:val="0000FF"/>
                </w:rPr>
                <w:t>in effect immediately prior to the completion of the Registrant’s</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tcBorders>
            <w:gridSpan w:val="20"/>
          </w:tcPr>
          <w:p>
            <w:pPr>
              <w:spacing w:after="0" w:line="167" w:lineRule="exact"/>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initial public offering</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8"/>
              </w:rPr>
            </w:pPr>
            <w:hyperlink r:id="rId18">
              <w:r>
                <w:rPr>
                  <w:rFonts w:ascii="Times New Roman" w:cs="Times New Roman" w:eastAsia="Times New Roman" w:hAnsi="Times New Roman"/>
                  <w:sz w:val="18"/>
                  <w:szCs w:val="18"/>
                  <w:color w:val="0000FF"/>
                  <w:w w:val="98"/>
                </w:rPr>
                <w:t>Bylaws, as currently in effect</w:t>
              </w:r>
            </w:hyperlink>
          </w:p>
        </w:tc>
        <w:tc>
          <w:tcPr>
            <w:tcW w:w="2680" w:type="dxa"/>
            <w:vAlign w:val="bottom"/>
            <w:gridSpan w:val="17"/>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5"/>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Amended and Restated Bylaws, to be in effect</w:t>
              </w:r>
            </w:hyperlink>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immediately prior to the completion of the Registrant’s</w:t>
              </w:r>
            </w:hyperlink>
          </w:p>
        </w:tc>
        <w:tc>
          <w:tcPr>
            <w:tcW w:w="860" w:type="dxa"/>
            <w:vAlign w:val="bottom"/>
            <w:gridSpan w:val="12"/>
          </w:tcPr>
          <w:p>
            <w:pPr>
              <w:ind w:left="60"/>
              <w:spacing w:after="0" w:line="154" w:lineRule="exact"/>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initial</w:t>
              </w:r>
            </w:hyperlink>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tcBorders>
              <w:top w:val="single" w:sz="8" w:color="0000FF"/>
            </w:tcBorders>
            <w:gridSpan w:val="19"/>
          </w:tcPr>
          <w:p>
            <w:pPr>
              <w:spacing w:after="0" w:line="167"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public offering</w:t>
              </w:r>
            </w:hyperlink>
          </w:p>
        </w:tc>
        <w:tc>
          <w:tcPr>
            <w:tcW w:w="3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5"/>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Class A Common Stock Certificate</w:t>
              </w:r>
            </w:hyperlink>
          </w:p>
        </w:tc>
        <w:tc>
          <w:tcPr>
            <w:tcW w:w="0" w:type="dxa"/>
            <w:vAlign w:val="bottom"/>
          </w:tcPr>
          <w:p>
            <w:pPr>
              <w:spacing w:after="0"/>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Opinion of Latham &amp; Watkins LLP</w:t>
            </w:r>
          </w:p>
        </w:tc>
        <w:tc>
          <w:tcPr>
            <w:tcW w:w="600" w:type="dxa"/>
            <w:vAlign w:val="bottom"/>
            <w:tcBorders>
              <w:top w:val="single" w:sz="8" w:color="0000FF"/>
            </w:tcBorders>
            <w:gridSpan w:val="2"/>
          </w:tcPr>
          <w:p>
            <w:pPr>
              <w:spacing w:after="0"/>
              <w:rPr>
                <w:sz w:val="22"/>
                <w:szCs w:val="22"/>
                <w:color w:val="auto"/>
              </w:rPr>
            </w:pPr>
          </w:p>
        </w:tc>
        <w:tc>
          <w:tcPr>
            <w:tcW w:w="164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Consent of Latham &amp; Watkins LLP (included in Exhibit 5.1)</w:t>
            </w:r>
          </w:p>
        </w:tc>
        <w:tc>
          <w:tcPr>
            <w:tcW w:w="44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bottom w:val="single" w:sz="8" w:color="0000FF"/>
            </w:tcBorders>
            <w:gridSpan w:val="3"/>
          </w:tcPr>
          <w:p>
            <w:pPr>
              <w:spacing w:after="0" w:line="154" w:lineRule="exact"/>
              <w:rPr>
                <w:sz w:val="20"/>
                <w:szCs w:val="20"/>
                <w:color w:val="auto"/>
              </w:rPr>
            </w:pPr>
            <w:r>
              <w:rPr>
                <w:rFonts w:ascii="Times New Roman" w:cs="Times New Roman" w:eastAsia="Times New Roman" w:hAnsi="Times New Roman"/>
                <w:sz w:val="17"/>
                <w:szCs w:val="17"/>
                <w:color w:val="0000FF"/>
              </w:rPr>
              <w:t>accounting firm</w:t>
            </w:r>
          </w:p>
        </w:tc>
        <w:tc>
          <w:tcPr>
            <w:tcW w:w="3040" w:type="dxa"/>
            <w:vAlign w:val="bottom"/>
            <w:tcBorders>
              <w:top w:val="single" w:sz="8" w:color="0000FF"/>
            </w:tcBorders>
            <w:gridSpan w:val="14"/>
          </w:tcPr>
          <w:p>
            <w:pPr>
              <w:spacing w:after="0"/>
              <w:rPr>
                <w:sz w:val="13"/>
                <w:szCs w:val="13"/>
                <w:color w:val="auto"/>
              </w:rPr>
            </w:pPr>
          </w:p>
        </w:tc>
        <w:tc>
          <w:tcPr>
            <w:tcW w:w="5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rPr>
              <w:t>firm</w:t>
            </w:r>
          </w:p>
        </w:tc>
        <w:tc>
          <w:tcPr>
            <w:tcW w:w="43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Power of Attorney (included on the signature page to the</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Borders>
              <w:top w:val="single" w:sz="8" w:color="0000FF"/>
              <w:bottom w:val="single" w:sz="8" w:color="0000FF"/>
            </w:tcBorders>
            <w:gridSpan w:val="7"/>
          </w:tcPr>
          <w:p>
            <w:pPr>
              <w:spacing w:after="0" w:line="154" w:lineRule="exact"/>
              <w:rPr>
                <w:sz w:val="20"/>
                <w:szCs w:val="20"/>
                <w:color w:val="auto"/>
              </w:rPr>
            </w:pPr>
            <w:r>
              <w:rPr>
                <w:rFonts w:ascii="Times New Roman" w:cs="Times New Roman" w:eastAsia="Times New Roman" w:hAnsi="Times New Roman"/>
                <w:sz w:val="17"/>
                <w:szCs w:val="17"/>
                <w:color w:val="0000FF"/>
              </w:rPr>
              <w:t>Registration Statement)</w:t>
            </w:r>
          </w:p>
        </w:tc>
        <w:tc>
          <w:tcPr>
            <w:tcW w:w="236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21">
              <w:r>
                <w:rPr>
                  <w:rFonts w:ascii="Times New Roman" w:cs="Times New Roman" w:eastAsia="Times New Roman" w:hAnsi="Times New Roman"/>
                  <w:sz w:val="18"/>
                  <w:szCs w:val="18"/>
                  <w:color w:val="0000FF"/>
                  <w:w w:val="98"/>
                </w:rPr>
                <w:t>2016 Equity Incentive Plan, as amended</w:t>
              </w:r>
            </w:hyperlink>
          </w:p>
        </w:tc>
        <w:tc>
          <w:tcPr>
            <w:tcW w:w="1900" w:type="dxa"/>
            <w:vAlign w:val="bottom"/>
            <w:gridSpan w:val="15"/>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5"/>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Notice of Stock Option Grant and Stock Option</w:t>
              </w:r>
            </w:hyperlink>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2"/>
          </w:tcPr>
          <w:p>
            <w:pPr>
              <w:spacing w:after="0" w:line="154"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Agreement under the 2016 Equity Incentive Plan</w:t>
              </w:r>
            </w:hyperlink>
          </w:p>
        </w:tc>
        <w:tc>
          <w:tcPr>
            <w:tcW w:w="520" w:type="dxa"/>
            <w:vAlign w:val="bottom"/>
            <w:tcBorders>
              <w:top w:val="single" w:sz="8" w:color="0000FF"/>
            </w:tcBorders>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58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780" w:type="dxa"/>
            <w:vAlign w:val="bottom"/>
            <w:gridSpan w:val="25"/>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of Notice of Restricted Stock Unit Award Grant and</w:t>
              </w:r>
            </w:hyperlink>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Restricted Stock Unit Agreement under the 2016 Equity</w:t>
              </w:r>
            </w:hyperlink>
          </w:p>
        </w:tc>
        <w:tc>
          <w:tcPr>
            <w:tcW w:w="640" w:type="dxa"/>
            <w:vAlign w:val="bottom"/>
            <w:gridSpan w:val="9"/>
          </w:tcPr>
          <w:p>
            <w:pPr>
              <w:spacing w:after="0" w:line="154" w:lineRule="exact"/>
              <w:rPr>
                <w:rFonts w:ascii="Times New Roman" w:cs="Times New Roman" w:eastAsia="Times New Roman" w:hAnsi="Times New Roman"/>
                <w:sz w:val="17"/>
                <w:szCs w:val="17"/>
                <w:color w:val="0000FF"/>
                <w:w w:val="97"/>
              </w:rPr>
            </w:pPr>
            <w:hyperlink r:id="rId23">
              <w:r>
                <w:rPr>
                  <w:rFonts w:ascii="Times New Roman" w:cs="Times New Roman" w:eastAsia="Times New Roman" w:hAnsi="Times New Roman"/>
                  <w:sz w:val="17"/>
                  <w:szCs w:val="17"/>
                  <w:color w:val="0000FF"/>
                  <w:w w:val="97"/>
                </w:rPr>
                <w:t>Incentive</w:t>
              </w:r>
            </w:hyperlink>
          </w:p>
        </w:tc>
        <w:tc>
          <w:tcPr>
            <w:tcW w:w="0" w:type="dxa"/>
            <w:vAlign w:val="bottom"/>
          </w:tcPr>
          <w:p>
            <w:pPr>
              <w:spacing w:after="0"/>
              <w:rPr>
                <w:sz w:val="1"/>
                <w:szCs w:val="1"/>
                <w:color w:val="auto"/>
              </w:rPr>
            </w:pPr>
          </w:p>
        </w:tc>
      </w:tr>
      <w:tr>
        <w:trPr>
          <w:trHeight w:val="167"/>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tcBorders>
            <w:gridSpan w:val="23"/>
          </w:tcPr>
          <w:p>
            <w:pPr>
              <w:spacing w:after="0" w:line="167"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Plan</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60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36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67"/>
        </w:trPr>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vMerge w:val="restart"/>
          </w:tcPr>
          <w:p>
            <w:pPr>
              <w:spacing w:after="0"/>
              <w:rPr>
                <w:sz w:val="14"/>
                <w:szCs w:val="14"/>
                <w:color w:val="auto"/>
              </w:rPr>
            </w:pPr>
          </w:p>
        </w:tc>
        <w:tc>
          <w:tcPr>
            <w:tcW w:w="1120" w:type="dxa"/>
            <w:vAlign w:val="bottom"/>
          </w:tcPr>
          <w:p>
            <w:pPr>
              <w:jc w:val="center"/>
              <w:ind w:left="111"/>
              <w:spacing w:after="0" w:line="167"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14"/>
                <w:szCs w:val="14"/>
                <w:color w:val="auto"/>
              </w:rPr>
            </w:pPr>
          </w:p>
        </w:tc>
        <w:tc>
          <w:tcPr>
            <w:tcW w:w="190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0" w:type="dxa"/>
            <w:vAlign w:val="bottom"/>
          </w:tcPr>
          <w:p>
            <w:pPr>
              <w:spacing w:after="0"/>
              <w:rPr>
                <w:sz w:val="1"/>
                <w:szCs w:val="1"/>
                <w:color w:val="auto"/>
              </w:rPr>
            </w:pPr>
          </w:p>
        </w:tc>
      </w:tr>
      <w:tr>
        <w:trPr>
          <w:trHeight w:val="240"/>
        </w:trPr>
        <w:tc>
          <w:tcPr>
            <w:tcW w:w="7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355"/>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333-295145</w:t>
            </w:r>
          </w:p>
        </w:tc>
        <w:tc>
          <w:tcPr>
            <w:tcW w:w="126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c>
          <w:tcPr>
            <w:tcW w:w="0" w:type="dxa"/>
            <w:vAlign w:val="bottom"/>
          </w:tcPr>
          <w:p>
            <w:pPr>
              <w:spacing w:after="0"/>
              <w:rPr>
                <w:sz w:val="1"/>
                <w:szCs w:val="1"/>
                <w:color w:val="auto"/>
              </w:rPr>
            </w:pPr>
          </w:p>
        </w:tc>
      </w:tr>
      <w:tr>
        <w:trPr>
          <w:trHeight w:val="548"/>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333-295145</w:t>
            </w:r>
          </w:p>
        </w:tc>
        <w:tc>
          <w:tcPr>
            <w:tcW w:w="126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c>
          <w:tcPr>
            <w:tcW w:w="0" w:type="dxa"/>
            <w:vAlign w:val="bottom"/>
          </w:tcPr>
          <w:p>
            <w:pPr>
              <w:spacing w:after="0"/>
              <w:rPr>
                <w:sz w:val="1"/>
                <w:szCs w:val="1"/>
                <w:color w:val="auto"/>
              </w:rPr>
            </w:pPr>
          </w:p>
        </w:tc>
      </w:tr>
      <w:tr>
        <w:trPr>
          <w:trHeight w:val="468"/>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333-295145</w:t>
            </w:r>
          </w:p>
        </w:tc>
        <w:tc>
          <w:tcPr>
            <w:tcW w:w="126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c>
          <w:tcPr>
            <w:tcW w:w="0" w:type="dxa"/>
            <w:vAlign w:val="bottom"/>
          </w:tcPr>
          <w:p>
            <w:pPr>
              <w:spacing w:after="0"/>
              <w:rPr>
                <w:sz w:val="1"/>
                <w:szCs w:val="1"/>
                <w:color w:val="auto"/>
              </w:rPr>
            </w:pPr>
          </w:p>
        </w:tc>
      </w:tr>
      <w:tr>
        <w:trPr>
          <w:trHeight w:val="454"/>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333-295145</w:t>
            </w:r>
          </w:p>
        </w:tc>
        <w:tc>
          <w:tcPr>
            <w:tcW w:w="126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c>
          <w:tcPr>
            <w:tcW w:w="0" w:type="dxa"/>
            <w:vAlign w:val="bottom"/>
          </w:tcPr>
          <w:p>
            <w:pPr>
              <w:spacing w:after="0"/>
              <w:rPr>
                <w:sz w:val="1"/>
                <w:szCs w:val="1"/>
                <w:color w:val="auto"/>
              </w:rPr>
            </w:pPr>
          </w:p>
        </w:tc>
      </w:tr>
      <w:tr>
        <w:trPr>
          <w:trHeight w:val="468"/>
        </w:trPr>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S-1</w:t>
            </w:r>
          </w:p>
        </w:tc>
        <w:tc>
          <w:tcPr>
            <w:tcW w:w="11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8"/>
              </w:rPr>
              <w:t>333-295145</w:t>
            </w:r>
          </w:p>
        </w:tc>
        <w:tc>
          <w:tcPr>
            <w:tcW w:w="1260" w:type="dxa"/>
            <w:vAlign w:val="bottom"/>
            <w:gridSpan w:val="3"/>
          </w:tcPr>
          <w:p>
            <w:pPr>
              <w:jc w:val="center"/>
              <w:ind w:left="191"/>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17,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3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333-295145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10.2(a)</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April 17, 2026</w:t>
            </w:r>
          </w:p>
        </w:tc>
      </w:tr>
      <w:tr>
        <w:trPr>
          <w:trHeight w:val="37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333-295145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10.2(b)</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April 17, 2026</w:t>
            </w:r>
          </w:p>
        </w:tc>
      </w:tr>
      <w:tr>
        <w:trPr>
          <w:trHeight w:val="548"/>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333-295145</w:t>
            </w:r>
          </w:p>
        </w:tc>
        <w:tc>
          <w:tcPr>
            <w:tcW w:w="1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10.2(c)</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6"/>
              </w:rPr>
              <w:t>April 17, 2026</w:t>
            </w:r>
          </w:p>
        </w:tc>
      </w:tr>
    </w:tbl>
    <w:p>
      <w:pPr>
        <w:spacing w:after="0" w:line="542" w:lineRule="exact"/>
        <w:rPr>
          <w:sz w:val="20"/>
          <w:szCs w:val="20"/>
          <w:color w:val="auto"/>
        </w:rPr>
      </w:pPr>
    </w:p>
    <w:p>
      <w:pPr>
        <w:sectPr>
          <w:pgSz w:w="11900" w:h="16838" w:orient="portrait"/>
          <w:cols w:equalWidth="0" w:num="2">
            <w:col w:w="5960" w:space="80"/>
            <w:col w:w="520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6"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7" w:lineRule="exact"/>
        <w:rPr>
          <w:sz w:val="20"/>
          <w:szCs w:val="20"/>
          <w:color w:val="auto"/>
        </w:rPr>
      </w:pPr>
    </w:p>
    <w:p>
      <w:pPr>
        <w:ind w:left="280" w:hanging="273"/>
        <w:spacing w:after="0"/>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rFonts w:ascii="Times New Roman" w:cs="Times New Roman" w:eastAsia="Times New Roman" w:hAnsi="Times New Roman"/>
          <w:sz w:val="18"/>
          <w:szCs w:val="18"/>
          <w:color w:val="auto"/>
        </w:rPr>
      </w:pPr>
    </w:p>
    <w:p>
      <w:pPr>
        <w:ind w:left="960" w:hanging="312"/>
        <w:spacing w:after="0"/>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1280" w:hanging="311"/>
        <w:spacing w:after="0"/>
        <w:tabs>
          <w:tab w:leader="none" w:pos="128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left="1280" w:hanging="311"/>
        <w:spacing w:after="0" w:line="262" w:lineRule="auto"/>
        <w:tabs>
          <w:tab w:leader="none" w:pos="127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78" w:lineRule="exact"/>
        <w:rPr>
          <w:sz w:val="20"/>
          <w:szCs w:val="20"/>
          <w:color w:val="auto"/>
        </w:rPr>
      </w:pPr>
    </w:p>
    <w:p>
      <w:pPr>
        <w:jc w:val="both"/>
        <w:ind w:left="1280"/>
        <w:spacing w:after="0" w:line="257" w:lineRule="auto"/>
        <w:rPr>
          <w:sz w:val="20"/>
          <w:szCs w:val="20"/>
          <w:color w:val="auto"/>
        </w:rPr>
      </w:pPr>
      <w:r>
        <w:rPr>
          <w:rFonts w:ascii="Times New Roman" w:cs="Times New Roman" w:eastAsia="Times New Roman" w:hAnsi="Times New Roman"/>
          <w:sz w:val="18"/>
          <w:szCs w:val="18"/>
          <w:color w:val="auto"/>
        </w:rPr>
        <w:t>(if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2" w:lineRule="exact"/>
        <w:rPr>
          <w:sz w:val="20"/>
          <w:szCs w:val="20"/>
          <w:color w:val="auto"/>
        </w:rPr>
      </w:pPr>
    </w:p>
    <w:p>
      <w:pPr>
        <w:ind w:left="1280" w:hanging="311"/>
        <w:spacing w:after="0" w:line="277"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spacing w:after="0" w:line="177" w:lineRule="exact"/>
        <w:rPr>
          <w:sz w:val="20"/>
          <w:szCs w:val="20"/>
          <w:color w:val="auto"/>
        </w:rPr>
      </w:pPr>
    </w:p>
    <w:p>
      <w:pPr>
        <w:jc w:val="both"/>
        <w:ind w:left="960" w:hanging="312"/>
        <w:spacing w:after="0" w:line="262" w:lineRule="auto"/>
        <w:tabs>
          <w:tab w:leader="none" w:pos="9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left="960" w:hanging="312"/>
        <w:spacing w:after="0" w:line="277" w:lineRule="auto"/>
        <w:tabs>
          <w:tab w:leader="none" w:pos="9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jc w:val="both"/>
        <w:ind w:left="640" w:hanging="313"/>
        <w:spacing w:after="0" w:line="255" w:lineRule="auto"/>
        <w:tabs>
          <w:tab w:leader="none" w:pos="6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jc w:val="both"/>
        <w:ind w:left="640" w:hanging="313"/>
        <w:spacing w:after="0" w:line="252" w:lineRule="auto"/>
        <w:tabs>
          <w:tab w:leader="none" w:pos="63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Sunnyvale, State of California, on this 14th day of May, 2026.</w:t>
      </w:r>
    </w:p>
    <w:p>
      <w:pPr>
        <w:spacing w:after="0" w:line="21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CEREBRAS SYSTEMS INC.</w:t>
      </w:r>
    </w:p>
    <w:p>
      <w:pPr>
        <w:spacing w:after="0" w:line="291" w:lineRule="exact"/>
        <w:rPr>
          <w:sz w:val="20"/>
          <w:szCs w:val="20"/>
          <w:color w:val="auto"/>
        </w:rPr>
      </w:pPr>
    </w:p>
    <w:tbl>
      <w:tblPr>
        <w:tblLayout w:type="fixed"/>
        <w:tblInd w:w="5900" w:type="dxa"/>
        <w:tblCellMar>
          <w:top w:w="0" w:type="dxa"/>
          <w:left w:w="0" w:type="dxa"/>
          <w:bottom w:w="0" w:type="dxa"/>
          <w:right w:w="0" w:type="dxa"/>
        </w:tblCellMar>
      </w:tblPr>
      <w:tr>
        <w:trPr>
          <w:trHeight w:val="23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D. Feldman</w:t>
            </w:r>
          </w:p>
        </w:tc>
      </w:tr>
      <w:tr>
        <w:trPr>
          <w:trHeight w:val="21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D. Feldman</w:t>
            </w:r>
          </w:p>
        </w:tc>
      </w:tr>
      <w:tr>
        <w:trPr>
          <w:trHeight w:val="233"/>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Andrew D. Feldman, Robert Komin, and Shirley X. Li,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32385</wp:posOffset>
            </wp:positionV>
            <wp:extent cx="22733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Andrew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57150</wp:posOffset>
            </wp:positionV>
            <wp:extent cx="2273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Andrew D. Feldman</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Robert Komin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Robert Komin</w:t>
      </w:r>
    </w:p>
    <w:p>
      <w:pPr>
        <w:spacing w:after="0" w:line="1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 Yagnesh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Yagnesh Patel</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Paul Auvil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Paul Auvil</w:t>
      </w:r>
    </w:p>
    <w:p>
      <w:pPr>
        <w:spacing w:after="0" w:line="1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 Elena Donio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Elena Donio</w:t>
      </w:r>
    </w:p>
    <w:p>
      <w:pPr>
        <w:spacing w:after="0" w:line="1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Lior Susan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Lior Susan</w:t>
      </w:r>
    </w:p>
    <w:p>
      <w:pPr>
        <w:spacing w:after="0" w:line="1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 Steve Vassallo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Steve Vassallo</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Eric Vishria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24130</wp:posOffset>
            </wp:positionV>
            <wp:extent cx="22733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Eric Vishria</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32385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5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p>
      <w:pPr>
        <w:jc w:val="center"/>
        <w:ind w:right="88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Principal Executive Officer)</w:t>
      </w:r>
    </w:p>
    <w:p>
      <w:pPr>
        <w:spacing w:after="0" w:line="17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Chief Financial Officer</w:t>
      </w:r>
    </w:p>
    <w:p>
      <w:pPr>
        <w:jc w:val="center"/>
        <w:ind w:right="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7"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Chief Accounting Officer</w:t>
      </w:r>
    </w:p>
    <w:p>
      <w:pPr>
        <w:jc w:val="center"/>
        <w:ind w:right="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5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354"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32385</wp:posOffset>
            </wp:positionV>
            <wp:extent cx="1518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14, 2026</w:t>
      </w:r>
    </w:p>
    <w:p>
      <w:pPr>
        <w:sectPr>
          <w:pgSz w:w="11900" w:h="16838" w:orient="portrait"/>
          <w:cols w:equalWidth="0" w:num="3">
            <w:col w:w="2800" w:space="720"/>
            <w:col w:w="4320" w:space="720"/>
            <w:col w:w="1000"/>
          </w:cols>
          <w:pgMar w:left="1280" w:top="1440" w:right="1059" w:bottom="1440" w:gutter="0" w:footer="0" w:header="0"/>
        </w:sectPr>
      </w:pPr>
    </w:p>
    <w:bookmarkStart w:id="25" w:name="page26"/>
    <w:bookmarkEnd w:id="25"/>
    <w:p>
      <w:pPr>
        <w:spacing w:after="0" w:line="62" w:lineRule="exact"/>
        <w:rPr>
          <w:sz w:val="20"/>
          <w:szCs w:val="20"/>
          <w:color w:val="auto"/>
        </w:rPr>
      </w:pPr>
    </w:p>
    <w:p>
      <w:pPr>
        <w:ind w:left="290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8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40"/>
        <w:spacing w:after="0"/>
        <w:rPr>
          <w:sz w:val="20"/>
          <w:szCs w:val="20"/>
          <w:color w:val="auto"/>
        </w:rPr>
      </w:pPr>
      <w:r>
        <w:rPr>
          <w:rFonts w:ascii="Arial" w:cs="Arial" w:eastAsia="Arial" w:hAnsi="Arial"/>
          <w:sz w:val="36"/>
          <w:szCs w:val="36"/>
          <w:b w:val="1"/>
          <w:bCs w:val="1"/>
          <w:color w:val="auto"/>
        </w:rPr>
        <w:t>Cerebras Systems Inc.</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9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40" w:type="dxa"/>
            <w:vAlign w:val="bottom"/>
          </w:tcPr>
          <w:p>
            <w:pPr>
              <w:spacing w:after="0"/>
              <w:rPr>
                <w:sz w:val="19"/>
                <w:szCs w:val="19"/>
                <w:color w:val="auto"/>
              </w:rPr>
            </w:pPr>
          </w:p>
        </w:tc>
        <w:tc>
          <w:tcPr>
            <w:tcW w:w="16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restart"/>
            <w:shd w:val="clear" w:color="auto" w:fill="9ADAF6"/>
          </w:tcPr>
          <w:p>
            <w:pPr>
              <w:ind w:left="20"/>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40" w:type="dxa"/>
            <w:vAlign w:val="bottom"/>
            <w:vMerge w:val="restart"/>
            <w:shd w:val="clear" w:color="auto" w:fill="9ADAF6"/>
          </w:tcPr>
          <w:p>
            <w:pPr>
              <w:ind w:left="1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6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4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40" w:type="dxa"/>
            <w:vAlign w:val="bottom"/>
          </w:tcPr>
          <w:p>
            <w:pPr>
              <w:spacing w:after="0"/>
              <w:rPr>
                <w:sz w:val="18"/>
                <w:szCs w:val="18"/>
                <w:color w:val="auto"/>
              </w:rPr>
            </w:pPr>
          </w:p>
        </w:tc>
        <w:tc>
          <w:tcPr>
            <w:tcW w:w="16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3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shd w:val="clear" w:color="auto" w:fill="9ADAF6"/>
          </w:tcPr>
          <w:p>
            <w:pPr>
              <w:ind w:left="200"/>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4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40" w:type="dxa"/>
            <w:vAlign w:val="bottom"/>
          </w:tcPr>
          <w:p>
            <w:pPr>
              <w:spacing w:after="0"/>
              <w:rPr>
                <w:sz w:val="23"/>
                <w:szCs w:val="23"/>
                <w:color w:val="auto"/>
              </w:rPr>
            </w:pPr>
          </w:p>
        </w:tc>
        <w:tc>
          <w:tcPr>
            <w:tcW w:w="16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4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40" w:type="dxa"/>
            <w:vAlign w:val="bottom"/>
          </w:tcPr>
          <w:p>
            <w:pPr>
              <w:spacing w:after="0"/>
              <w:rPr>
                <w:sz w:val="24"/>
                <w:szCs w:val="24"/>
                <w:color w:val="auto"/>
              </w:rPr>
            </w:pPr>
          </w:p>
        </w:tc>
        <w:tc>
          <w:tcPr>
            <w:tcW w:w="16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 par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("Class A</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w w:val="85"/>
              </w:rPr>
              <w:t>1</w:t>
            </w:r>
          </w:p>
        </w:tc>
        <w:tc>
          <w:tcPr>
            <w:tcW w:w="40" w:type="dxa"/>
            <w:vAlign w:val="bottom"/>
          </w:tcPr>
          <w:p>
            <w:pPr>
              <w:spacing w:after="0"/>
              <w:rPr>
                <w:sz w:val="20"/>
                <w:szCs w:val="20"/>
                <w:color w:val="auto"/>
              </w:rPr>
            </w:pPr>
          </w:p>
        </w:tc>
        <w:tc>
          <w:tcPr>
            <w:tcW w:w="90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6,808,018</w:t>
            </w:r>
          </w:p>
        </w:tc>
        <w:tc>
          <w:tcPr>
            <w:tcW w:w="20" w:type="dxa"/>
            <w:vAlign w:val="bottom"/>
          </w:tcPr>
          <w:p>
            <w:pPr>
              <w:spacing w:after="0"/>
              <w:rPr>
                <w:sz w:val="20"/>
                <w:szCs w:val="20"/>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$ 185.00</w:t>
            </w:r>
          </w:p>
        </w:tc>
        <w:tc>
          <w:tcPr>
            <w:tcW w:w="40" w:type="dxa"/>
            <w:vAlign w:val="bottom"/>
          </w:tcPr>
          <w:p>
            <w:pPr>
              <w:spacing w:after="0"/>
              <w:rPr>
                <w:sz w:val="20"/>
                <w:szCs w:val="20"/>
                <w:color w:val="auto"/>
              </w:rPr>
            </w:pPr>
          </w:p>
        </w:tc>
        <w:tc>
          <w:tcPr>
            <w:tcW w:w="16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3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$ 173,934.65</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1,259,483,330.00</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Registrant's</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2016</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Award Plan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(the "2016</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Plan")</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$ 173,934.65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2"/>
          </w:tcPr>
          <w:p>
            <w:pPr>
              <w:jc w:val="right"/>
              <w:spacing w:after="0"/>
              <w:rPr>
                <w:sz w:val="20"/>
                <w:szCs w:val="20"/>
                <w:color w:val="auto"/>
              </w:rPr>
            </w:pPr>
            <w:r>
              <w:rPr>
                <w:rFonts w:ascii="Arial" w:cs="Arial" w:eastAsia="Arial" w:hAnsi="Arial"/>
                <w:sz w:val="21"/>
                <w:szCs w:val="21"/>
                <w:color w:val="auto"/>
              </w:rPr>
              <w:t>1,259,483,330.00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21"/>
                <w:szCs w:val="21"/>
                <w:color w:val="auto"/>
              </w:rPr>
              <w:t>$ 173,934.65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62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40" w:right="840" w:firstLine="2"/>
        <w:spacing w:after="0" w:line="246" w:lineRule="auto"/>
        <w:tabs>
          <w:tab w:leader="none" w:pos="1161" w:val="left"/>
        </w:tabs>
        <w:numPr>
          <w:ilvl w:val="0"/>
          <w:numId w:val="20"/>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("Registration Statement") shall also cover any additional shares of Class A common stock, par value $0.00001 per share (the "Class A Common Stock") that become issuable under the 2016 Incentive Plan, by reason of any stock dividend, stock split, recapitalization, or other similar transaction effected without receipt of consideration that results in an increase to the number of outstanding shares of Class A Common Stock.</w:t>
      </w:r>
    </w:p>
    <w:p>
      <w:pPr>
        <w:spacing w:after="0" w:line="198" w:lineRule="exact"/>
        <w:rPr>
          <w:rFonts w:ascii="Arial" w:cs="Arial" w:eastAsia="Arial" w:hAnsi="Arial"/>
          <w:sz w:val="21"/>
          <w:szCs w:val="21"/>
          <w:color w:val="auto"/>
        </w:rPr>
      </w:pPr>
    </w:p>
    <w:p>
      <w:pPr>
        <w:ind w:left="840" w:right="820" w:firstLine="2"/>
        <w:spacing w:after="0" w:line="245" w:lineRule="auto"/>
        <w:tabs>
          <w:tab w:leader="none" w:pos="1161" w:val="left"/>
        </w:tabs>
        <w:numPr>
          <w:ilvl w:val="0"/>
          <w:numId w:val="20"/>
        </w:numPr>
        <w:rPr>
          <w:rFonts w:ascii="Arial" w:cs="Arial" w:eastAsia="Arial" w:hAnsi="Arial"/>
          <w:sz w:val="21"/>
          <w:szCs w:val="21"/>
          <w:color w:val="auto"/>
        </w:rPr>
      </w:pPr>
      <w:r>
        <w:rPr>
          <w:rFonts w:ascii="Arial" w:cs="Arial" w:eastAsia="Arial" w:hAnsi="Arial"/>
          <w:sz w:val="21"/>
          <w:szCs w:val="21"/>
          <w:color w:val="auto"/>
        </w:rPr>
        <w:t>Represents an aggregate of 6,808,018 shares of Class A common stock issuable to the Selling Stockholders upon the conversion of shares of Class B common stock, par value $0.00001 per share ("Class B common stock"), of the Registrant, held by such Selling Stockholders, of which (i) 1,319,861 shares of Class B common stock are issuable to the Selling Stockholders pursuant to the settlement of restricted stock units ("RSUs") held by such Selling Stockholders and (ii) 5,488,157 shares of Class B common stock have been issued to such Selling Stockholders pursuant to the settlement of RSUs and/or exercise of options, in each case, acquired by the Selling Stockholders under the 2016 Plan.</w:t>
      </w:r>
    </w:p>
    <w:p>
      <w:pPr>
        <w:spacing w:after="0" w:line="197" w:lineRule="exact"/>
        <w:rPr>
          <w:rFonts w:ascii="Arial" w:cs="Arial" w:eastAsia="Arial" w:hAnsi="Arial"/>
          <w:sz w:val="21"/>
          <w:szCs w:val="21"/>
          <w:color w:val="auto"/>
        </w:rPr>
      </w:pPr>
    </w:p>
    <w:p>
      <w:pPr>
        <w:ind w:left="840" w:right="840" w:firstLine="2"/>
        <w:spacing w:after="0" w:line="248" w:lineRule="auto"/>
        <w:tabs>
          <w:tab w:leader="none" w:pos="1149" w:val="left"/>
        </w:tabs>
        <w:numPr>
          <w:ilvl w:val="0"/>
          <w:numId w:val="20"/>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registration fee in accordance with Rule 457(h) under the Securities Act. The proposed maximum offering price per share and the proposed maximum aggregate offering price are based on the initial public offering price of the Class A Common Stock of $185.00 per share, as set forth in the Registrant's Registration Statement on Form S-1 (File No. 333-295145), as amended, that was declared effective on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76835</wp:posOffset>
            </wp:positionV>
            <wp:extent cx="6387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2"/>
          </w:tcPr>
          <w:p>
            <w:pPr>
              <w:spacing w:after="0"/>
              <w:rPr>
                <w:sz w:val="20"/>
                <w:szCs w:val="20"/>
                <w:color w:val="auto"/>
              </w:rPr>
            </w:pPr>
            <w:r>
              <w:rPr>
                <w:rFonts w:ascii="Arial" w:cs="Arial" w:eastAsia="Arial" w:hAnsi="Arial"/>
                <w:sz w:val="21"/>
                <w:szCs w:val="21"/>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Registrant</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19"/>
                <w:szCs w:val="19"/>
                <w:color w:val="auto"/>
              </w:rPr>
            </w:pPr>
          </w:p>
        </w:tc>
        <w:tc>
          <w:tcPr>
            <w:tcW w:w="84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19"/>
                <w:szCs w:val="19"/>
                <w:color w:val="auto"/>
              </w:rPr>
            </w:pPr>
          </w:p>
        </w:tc>
        <w:tc>
          <w:tcPr>
            <w:tcW w:w="60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Filing</w:t>
            </w:r>
          </w:p>
        </w:tc>
        <w:tc>
          <w:tcPr>
            <w:tcW w:w="40" w:type="dxa"/>
            <w:vAlign w:val="bottom"/>
          </w:tcPr>
          <w:p>
            <w:pPr>
              <w:spacing w:after="0"/>
              <w:rPr>
                <w:sz w:val="19"/>
                <w:szCs w:val="19"/>
                <w:color w:val="auto"/>
              </w:rPr>
            </w:pPr>
          </w:p>
        </w:tc>
        <w:tc>
          <w:tcPr>
            <w:tcW w:w="8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76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19"/>
                <w:szCs w:val="19"/>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r>
      <w:tr>
        <w:trPr>
          <w:trHeight w:val="278"/>
        </w:trPr>
        <w:tc>
          <w:tcPr>
            <w:tcW w:w="40" w:type="dxa"/>
            <w:vAlign w:val="bottom"/>
            <w:tcBorders>
              <w:left w:val="single" w:sz="8" w:color="auto"/>
            </w:tcBorders>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60" w:type="dxa"/>
            <w:vAlign w:val="bottom"/>
            <w:tcBorders>
              <w:right w:val="single" w:sz="8" w:color="9ADAF6"/>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Source</w:t>
            </w:r>
          </w:p>
        </w:tc>
        <w:tc>
          <w:tcPr>
            <w:tcW w:w="80" w:type="dxa"/>
            <w:vAlign w:val="bottom"/>
            <w:tcBorders>
              <w:right w:val="single" w:sz="8" w:color="auto"/>
            </w:tcBorders>
          </w:tcPr>
          <w:p>
            <w:pPr>
              <w:spacing w:after="0"/>
              <w:rPr>
                <w:sz w:val="24"/>
                <w:szCs w:val="24"/>
                <w:color w:val="auto"/>
              </w:rPr>
            </w:pPr>
          </w:p>
        </w:tc>
      </w:tr>
    </w:tbl>
    <w:p>
      <w:pPr>
        <w:sectPr>
          <w:pgSz w:w="11900" w:h="16900" w:orient="portrait"/>
          <w:cols w:equalWidth="0" w:num="1">
            <w:col w:w="11340"/>
          </w:cols>
          <w:pgMar w:left="320" w:top="142" w:right="239" w:bottom="0" w:gutter="0" w:footer="0" w:header="0"/>
        </w:sectPr>
      </w:pPr>
    </w:p>
    <w:bookmarkStart w:id="26" w:name="page27"/>
    <w:bookmarkEnd w:id="26"/>
    <w:p>
      <w:pPr>
        <w:jc w:val="center"/>
        <w:ind w:left="8540"/>
        <w:spacing w:after="0"/>
        <w:rPr>
          <w:sz w:val="20"/>
          <w:szCs w:val="20"/>
          <w:color w:val="auto"/>
        </w:rPr>
      </w:pPr>
      <w:r>
        <w:rPr>
          <w:rFonts w:ascii="Arial" w:cs="Arial" w:eastAsia="Arial" w:hAnsi="Arial"/>
          <w:sz w:val="21"/>
          <w:szCs w:val="21"/>
          <w:b w:val="1"/>
          <w:bCs w:val="1"/>
          <w:color w:val="auto"/>
        </w:rPr>
        <w:t>Offset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1511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98360" cy="1511935"/>
                    </a:xfrm>
                    <a:prstGeom prst="rect">
                      <a:avLst/>
                    </a:prstGeom>
                    <a:noFill/>
                  </pic:spPr>
                </pic:pic>
              </a:graphicData>
            </a:graphic>
          </wp:anchor>
        </w:drawing>
      </w:r>
    </w:p>
    <w:p>
      <w:pPr>
        <w:spacing w:after="0" w:line="1" w:lineRule="exact"/>
        <w:rPr>
          <w:sz w:val="20"/>
          <w:szCs w:val="20"/>
          <w:color w:val="auto"/>
        </w:rPr>
      </w:pPr>
    </w:p>
    <w:p>
      <w:pPr>
        <w:jc w:val="center"/>
        <w:ind w:left="8540"/>
        <w:spacing w:after="0"/>
        <w:rPr>
          <w:sz w:val="20"/>
          <w:szCs w:val="20"/>
          <w:color w:val="auto"/>
        </w:rPr>
      </w:pPr>
      <w:r>
        <w:rPr>
          <w:rFonts w:ascii="Arial" w:cs="Arial" w:eastAsia="Arial" w:hAnsi="Arial"/>
          <w:sz w:val="21"/>
          <w:szCs w:val="21"/>
          <w:b w:val="1"/>
          <w:bCs w:val="1"/>
          <w:color w:val="auto"/>
        </w:rPr>
        <w:t>Claimed</w:t>
      </w:r>
    </w:p>
    <w:p>
      <w:pPr>
        <w:spacing w:after="0" w:line="32"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Rule 457(p)</w:t>
      </w:r>
    </w:p>
    <w:p>
      <w:pPr>
        <w:spacing w:after="0" w:line="53"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p>
      <w:pPr>
        <w:sectPr>
          <w:pgSz w:w="11900" w:h="16838" w:orient="portrait"/>
          <w:cols w:equalWidth="0" w:num="1">
            <w:col w:w="10260"/>
          </w:cols>
          <w:pgMar w:left="380" w:top="111" w:right="125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91"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801 Jefferson Avenue, Suite 300</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Redwood City, California 94063</w:t>
      </w:r>
    </w:p>
    <w:p>
      <w:pPr>
        <w:spacing w:after="0" w:line="49"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Tel: +1.650.328.4600 Fax: +1.650.463.2600</w:t>
      </w:r>
    </w:p>
    <w:p>
      <w:pPr>
        <w:spacing w:after="0" w:line="62"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www.lw.com</w:t>
      </w:r>
    </w:p>
    <w:p>
      <w:pPr>
        <w:spacing w:after="0" w:line="183" w:lineRule="exact"/>
        <w:rPr>
          <w:sz w:val="20"/>
          <w:szCs w:val="20"/>
          <w:color w:val="auto"/>
        </w:rPr>
      </w:pPr>
    </w:p>
    <w:p>
      <w:pPr>
        <w:ind w:left="7240"/>
        <w:spacing w:after="0"/>
        <w:rPr>
          <w:sz w:val="20"/>
          <w:szCs w:val="20"/>
          <w:color w:val="auto"/>
        </w:rPr>
      </w:pPr>
      <w:r>
        <w:rPr>
          <w:rFonts w:ascii="Arial" w:cs="Arial" w:eastAsia="Arial" w:hAnsi="Arial"/>
          <w:sz w:val="12"/>
          <w:szCs w:val="12"/>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-24765</wp:posOffset>
            </wp:positionV>
            <wp:extent cx="2035810" cy="13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2035810" cy="135890"/>
                    </a:xfrm>
                    <a:prstGeom prst="rect">
                      <a:avLst/>
                    </a:prstGeom>
                    <a:noFill/>
                  </pic:spPr>
                </pic:pic>
              </a:graphicData>
            </a:graphic>
          </wp:anchor>
        </w:drawing>
      </w:r>
    </w:p>
    <w:p>
      <w:pPr>
        <w:spacing w:after="0" w:line="42"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Austin</w:t>
      </w:r>
      <w:r>
        <w:rPr>
          <w:sz w:val="20"/>
          <w:szCs w:val="20"/>
          <w:color w:val="auto"/>
        </w:rPr>
        <w:tab/>
      </w:r>
      <w:r>
        <w:rPr>
          <w:rFonts w:ascii="Arial" w:cs="Arial" w:eastAsia="Arial" w:hAnsi="Arial"/>
          <w:sz w:val="12"/>
          <w:szCs w:val="12"/>
          <w:color w:val="auto"/>
        </w:rPr>
        <w:t>Milan</w:t>
      </w:r>
    </w:p>
    <w:p>
      <w:pPr>
        <w:spacing w:after="0" w:line="62"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Beijing</w:t>
      </w:r>
      <w:r>
        <w:rPr>
          <w:sz w:val="20"/>
          <w:szCs w:val="20"/>
          <w:color w:val="auto"/>
        </w:rPr>
        <w:tab/>
      </w:r>
      <w:r>
        <w:rPr>
          <w:rFonts w:ascii="Arial" w:cs="Arial" w:eastAsia="Arial" w:hAnsi="Arial"/>
          <w:sz w:val="12"/>
          <w:szCs w:val="12"/>
          <w:color w:val="auto"/>
        </w:rPr>
        <w:t>Munich</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Boston</w:t>
      </w:r>
      <w:r>
        <w:rPr>
          <w:sz w:val="20"/>
          <w:szCs w:val="20"/>
          <w:color w:val="auto"/>
        </w:rPr>
        <w:tab/>
      </w:r>
      <w:r>
        <w:rPr>
          <w:rFonts w:ascii="Arial" w:cs="Arial" w:eastAsia="Arial" w:hAnsi="Arial"/>
          <w:sz w:val="12"/>
          <w:szCs w:val="12"/>
          <w:color w:val="auto"/>
        </w:rPr>
        <w:t>New York</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Brussels</w:t>
      </w:r>
      <w:r>
        <w:rPr>
          <w:sz w:val="20"/>
          <w:szCs w:val="20"/>
          <w:color w:val="auto"/>
        </w:rPr>
        <w:tab/>
      </w:r>
      <w:r>
        <w:rPr>
          <w:rFonts w:ascii="Arial" w:cs="Arial" w:eastAsia="Arial" w:hAnsi="Arial"/>
          <w:sz w:val="12"/>
          <w:szCs w:val="12"/>
          <w:color w:val="auto"/>
        </w:rPr>
        <w:t>Orange County</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Chicago</w:t>
      </w:r>
      <w:r>
        <w:rPr>
          <w:sz w:val="20"/>
          <w:szCs w:val="20"/>
          <w:color w:val="auto"/>
        </w:rPr>
        <w:tab/>
      </w:r>
      <w:r>
        <w:rPr>
          <w:rFonts w:ascii="Arial" w:cs="Arial" w:eastAsia="Arial" w:hAnsi="Arial"/>
          <w:sz w:val="12"/>
          <w:szCs w:val="12"/>
          <w:color w:val="auto"/>
        </w:rPr>
        <w:t>Paris</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Dubai</w:t>
      </w:r>
      <w:r>
        <w:rPr>
          <w:sz w:val="20"/>
          <w:szCs w:val="20"/>
          <w:color w:val="auto"/>
        </w:rPr>
        <w:tab/>
      </w:r>
      <w:r>
        <w:rPr>
          <w:rFonts w:ascii="Arial" w:cs="Arial" w:eastAsia="Arial" w:hAnsi="Arial"/>
          <w:sz w:val="12"/>
          <w:szCs w:val="12"/>
          <w:color w:val="auto"/>
        </w:rPr>
        <w:t>Riyadh</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Düsseldorf</w:t>
      </w:r>
      <w:r>
        <w:rPr>
          <w:sz w:val="20"/>
          <w:szCs w:val="20"/>
          <w:color w:val="auto"/>
        </w:rPr>
        <w:tab/>
      </w:r>
      <w:r>
        <w:rPr>
          <w:rFonts w:ascii="Arial" w:cs="Arial" w:eastAsia="Arial" w:hAnsi="Arial"/>
          <w:sz w:val="12"/>
          <w:szCs w:val="12"/>
          <w:color w:val="auto"/>
        </w:rPr>
        <w:t>San Diego</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Frankfurt</w:t>
      </w:r>
      <w:r>
        <w:rPr>
          <w:sz w:val="20"/>
          <w:szCs w:val="20"/>
          <w:color w:val="auto"/>
        </w:rPr>
        <w:tab/>
      </w:r>
      <w:r>
        <w:rPr>
          <w:rFonts w:ascii="Arial" w:cs="Arial" w:eastAsia="Arial" w:hAnsi="Arial"/>
          <w:sz w:val="12"/>
          <w:szCs w:val="12"/>
          <w:color w:val="auto"/>
        </w:rPr>
        <w:t>San Francisco</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Hamburg</w:t>
      </w:r>
      <w:r>
        <w:rPr>
          <w:sz w:val="20"/>
          <w:szCs w:val="20"/>
          <w:color w:val="auto"/>
        </w:rPr>
        <w:tab/>
      </w:r>
      <w:r>
        <w:rPr>
          <w:rFonts w:ascii="Arial" w:cs="Arial" w:eastAsia="Arial" w:hAnsi="Arial"/>
          <w:sz w:val="12"/>
          <w:szCs w:val="12"/>
          <w:color w:val="auto"/>
        </w:rPr>
        <w:t>Seoul</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Hong Kong</w:t>
      </w:r>
      <w:r>
        <w:rPr>
          <w:sz w:val="20"/>
          <w:szCs w:val="20"/>
          <w:color w:val="auto"/>
        </w:rPr>
        <w:tab/>
      </w:r>
      <w:r>
        <w:rPr>
          <w:rFonts w:ascii="Arial" w:cs="Arial" w:eastAsia="Arial" w:hAnsi="Arial"/>
          <w:sz w:val="12"/>
          <w:szCs w:val="12"/>
          <w:color w:val="auto"/>
        </w:rPr>
        <w:t>Silicon Valley</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Houston</w:t>
      </w:r>
      <w:r>
        <w:rPr>
          <w:sz w:val="20"/>
          <w:szCs w:val="20"/>
          <w:color w:val="auto"/>
        </w:rPr>
        <w:tab/>
      </w:r>
      <w:r>
        <w:rPr>
          <w:rFonts w:ascii="Arial" w:cs="Arial" w:eastAsia="Arial" w:hAnsi="Arial"/>
          <w:sz w:val="12"/>
          <w:szCs w:val="12"/>
          <w:color w:val="auto"/>
        </w:rPr>
        <w:t>Singapore</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London</w:t>
      </w:r>
      <w:r>
        <w:rPr>
          <w:sz w:val="20"/>
          <w:szCs w:val="20"/>
          <w:color w:val="auto"/>
        </w:rPr>
        <w:tab/>
      </w:r>
      <w:r>
        <w:rPr>
          <w:rFonts w:ascii="Arial" w:cs="Arial" w:eastAsia="Arial" w:hAnsi="Arial"/>
          <w:sz w:val="12"/>
          <w:szCs w:val="12"/>
          <w:color w:val="auto"/>
        </w:rPr>
        <w:t>Tel Aviv</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Los Angeles</w:t>
      </w:r>
      <w:r>
        <w:rPr>
          <w:sz w:val="20"/>
          <w:szCs w:val="20"/>
          <w:color w:val="auto"/>
        </w:rPr>
        <w:tab/>
      </w:r>
      <w:r>
        <w:rPr>
          <w:rFonts w:ascii="Arial" w:cs="Arial" w:eastAsia="Arial" w:hAnsi="Arial"/>
          <w:sz w:val="11"/>
          <w:szCs w:val="11"/>
          <w:color w:val="auto"/>
        </w:rPr>
        <w:t>Tokyo</w:t>
      </w:r>
    </w:p>
    <w:p>
      <w:pPr>
        <w:spacing w:after="0" w:line="36" w:lineRule="exact"/>
        <w:rPr>
          <w:sz w:val="20"/>
          <w:szCs w:val="20"/>
          <w:color w:val="auto"/>
        </w:rPr>
      </w:pPr>
    </w:p>
    <w:p>
      <w:pPr>
        <w:ind w:left="7240"/>
        <w:spacing w:after="0"/>
        <w:tabs>
          <w:tab w:leader="none" w:pos="8520" w:val="left"/>
        </w:tabs>
        <w:rPr>
          <w:sz w:val="20"/>
          <w:szCs w:val="20"/>
          <w:color w:val="auto"/>
        </w:rPr>
      </w:pPr>
      <w:r>
        <w:rPr>
          <w:rFonts w:ascii="Arial" w:cs="Arial" w:eastAsia="Arial" w:hAnsi="Arial"/>
          <w:sz w:val="12"/>
          <w:szCs w:val="12"/>
          <w:color w:val="auto"/>
        </w:rPr>
        <w:t>Madrid</w:t>
      </w:r>
      <w:r>
        <w:rPr>
          <w:sz w:val="20"/>
          <w:szCs w:val="20"/>
          <w:color w:val="auto"/>
        </w:rPr>
        <w:tab/>
      </w:r>
      <w:r>
        <w:rPr>
          <w:rFonts w:ascii="Arial" w:cs="Arial" w:eastAsia="Arial" w:hAnsi="Arial"/>
          <w:sz w:val="12"/>
          <w:szCs w:val="12"/>
          <w:color w:val="auto"/>
        </w:rPr>
        <w:t>Washington, D.C.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Cerebras Systems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1237 E. Arques Avenue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Sunnyvale, California 94085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Re: </w:t>
      </w:r>
      <w:r>
        <w:rPr>
          <w:rFonts w:ascii="Times New Roman" w:cs="Times New Roman" w:eastAsia="Times New Roman" w:hAnsi="Times New Roman"/>
          <w:sz w:val="21"/>
          <w:szCs w:val="21"/>
          <w:u w:val="single" w:color="auto"/>
          <w:color w:val="auto"/>
        </w:rPr>
        <w:t>Registration Statement on Form S-8</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addressee set forth above:</w:t>
      </w:r>
    </w:p>
    <w:p>
      <w:pPr>
        <w:spacing w:after="0" w:line="220" w:lineRule="exact"/>
        <w:rPr>
          <w:sz w:val="20"/>
          <w:szCs w:val="20"/>
          <w:color w:val="auto"/>
        </w:rPr>
      </w:pPr>
    </w:p>
    <w:p>
      <w:pPr>
        <w:jc w:val="both"/>
        <w:ind w:firstLine="641"/>
        <w:spacing w:after="0" w:line="259" w:lineRule="auto"/>
        <w:rPr>
          <w:sz w:val="20"/>
          <w:szCs w:val="20"/>
          <w:color w:val="auto"/>
        </w:rPr>
      </w:pPr>
      <w:r>
        <w:rPr>
          <w:rFonts w:ascii="Times New Roman" w:cs="Times New Roman" w:eastAsia="Times New Roman" w:hAnsi="Times New Roman"/>
          <w:sz w:val="21"/>
          <w:szCs w:val="21"/>
          <w:color w:val="auto"/>
        </w:rPr>
        <w:t>We have acted as counsel to Cerebras Systems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in connection with the registration for resale from time to time by certain selling stockholders (the “</w:t>
      </w:r>
      <w:r>
        <w:rPr>
          <w:rFonts w:ascii="Times New Roman" w:cs="Times New Roman" w:eastAsia="Times New Roman" w:hAnsi="Times New Roman"/>
          <w:sz w:val="21"/>
          <w:szCs w:val="21"/>
          <w:b w:val="1"/>
          <w:bCs w:val="1"/>
          <w:i w:val="1"/>
          <w:iCs w:val="1"/>
          <w:color w:val="auto"/>
        </w:rPr>
        <w:t>Selling Stockholders</w:t>
      </w:r>
      <w:r>
        <w:rPr>
          <w:rFonts w:ascii="Times New Roman" w:cs="Times New Roman" w:eastAsia="Times New Roman" w:hAnsi="Times New Roman"/>
          <w:sz w:val="21"/>
          <w:szCs w:val="21"/>
          <w:color w:val="auto"/>
        </w:rPr>
        <w:t>”) of up to 6,808,018 shares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of the Company’s Class A common stock, $0.00001 par value per share, issued to the Selling Stockholders by the Company. The Shares are included in a registration statement (the “</w:t>
      </w:r>
      <w:r>
        <w:rPr>
          <w:rFonts w:ascii="Times New Roman" w:cs="Times New Roman" w:eastAsia="Times New Roman" w:hAnsi="Times New Roman"/>
          <w:sz w:val="21"/>
          <w:szCs w:val="21"/>
          <w:b w:val="1"/>
          <w:bCs w:val="1"/>
          <w:i w:val="1"/>
          <w:iCs w:val="1"/>
          <w:color w:val="auto"/>
        </w:rPr>
        <w:t>Registration Statement</w:t>
      </w:r>
      <w:r>
        <w:rPr>
          <w:rFonts w:ascii="Times New Roman" w:cs="Times New Roman" w:eastAsia="Times New Roman" w:hAnsi="Times New Roman"/>
          <w:sz w:val="21"/>
          <w:szCs w:val="21"/>
          <w:color w:val="auto"/>
        </w:rPr>
        <w:t>”) on Form S–8 under the Securities Act of 1933,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1"/>
          <w:szCs w:val="21"/>
          <w:color w:val="auto"/>
        </w:rPr>
        <w:t>”), and the related prospectus included in the Registration Statement (the “</w:t>
      </w:r>
      <w:r>
        <w:rPr>
          <w:rFonts w:ascii="Times New Roman" w:cs="Times New Roman" w:eastAsia="Times New Roman" w:hAnsi="Times New Roman"/>
          <w:sz w:val="21"/>
          <w:szCs w:val="21"/>
          <w:b w:val="1"/>
          <w:bCs w:val="1"/>
          <w:i w:val="1"/>
          <w:iCs w:val="1"/>
          <w:color w:val="auto"/>
        </w:rPr>
        <w:t>Prospectus</w:t>
      </w:r>
      <w:r>
        <w:rPr>
          <w:rFonts w:ascii="Times New Roman" w:cs="Times New Roman" w:eastAsia="Times New Roman" w:hAnsi="Times New Roman"/>
          <w:sz w:val="21"/>
          <w:szCs w:val="21"/>
          <w:color w:val="auto"/>
        </w:rPr>
        <w:t>”), filed with the Securities and Exchange Commission (the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1"/>
          <w:szCs w:val="21"/>
          <w:color w:val="auto"/>
        </w:rPr>
        <w:t>”) on May 14, 2026. 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200" w:lineRule="exact"/>
        <w:rPr>
          <w:sz w:val="20"/>
          <w:szCs w:val="20"/>
          <w:color w:val="auto"/>
        </w:rPr>
      </w:pPr>
    </w:p>
    <w:p>
      <w:pPr>
        <w:spacing w:after="0" w:line="233" w:lineRule="exact"/>
        <w:rPr>
          <w:sz w:val="20"/>
          <w:szCs w:val="20"/>
          <w:color w:val="auto"/>
        </w:rPr>
      </w:pPr>
    </w:p>
    <w:p>
      <w:pPr>
        <w:jc w:val="both"/>
        <w:ind w:firstLine="641"/>
        <w:spacing w:after="0" w:line="268" w:lineRule="auto"/>
        <w:rPr>
          <w:sz w:val="20"/>
          <w:szCs w:val="20"/>
          <w:color w:val="auto"/>
        </w:rPr>
      </w:pPr>
      <w:r>
        <w:rPr>
          <w:rFonts w:ascii="Times New Roman" w:cs="Times New Roman" w:eastAsia="Times New Roman" w:hAnsi="Times New Roman"/>
          <w:sz w:val="21"/>
          <w:szCs w:val="21"/>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64"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21"/>
          <w:szCs w:val="21"/>
          <w:color w:val="auto"/>
        </w:rPr>
        <w:t>Subject to the foregoing and the other matters set forth herein, it is our opinion that, as of the date hereof, the Shares are validly issued, fully paid and non-assessable.</w:t>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May 14, 2026</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1374140" cy="85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74140" cy="8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641"/>
        <w:spacing w:after="0" w:line="264" w:lineRule="auto"/>
        <w:rPr>
          <w:sz w:val="20"/>
          <w:szCs w:val="20"/>
          <w:color w:val="auto"/>
        </w:rPr>
      </w:pPr>
      <w:r>
        <w:rPr>
          <w:rFonts w:ascii="Times New Roman" w:cs="Times New Roman" w:eastAsia="Times New Roman" w:hAnsi="Times New Roman"/>
          <w:sz w:val="21"/>
          <w:szCs w:val="21"/>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Sincerely,</w:t>
      </w:r>
    </w:p>
    <w:p>
      <w:pPr>
        <w:spacing w:after="0" w:line="2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/s/ Latham &amp; Watkins LLP</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760"/>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hereby consent to the incorporation by reference in this Registration Statement on Form S-8 of our report dated September 18, 2025, relating to the consolidated financial statements of Cerebras Systems Inc. (the Company), which is included in the Company’s Registration Statement on Form S-1 (No. 333-295145).</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We also consent to the reference to us under the caption “Experts” in the Prospectus.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/s/ BDO USA, P.C.</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May 14, 2026</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78105</wp:posOffset>
            </wp:positionV>
            <wp:extent cx="814070" cy="322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814070" cy="32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KPMG LLP</w:t>
      </w:r>
    </w:p>
    <w:p>
      <w:pPr>
        <w:spacing w:after="0" w:line="3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2755 Augustine Drive</w:t>
      </w:r>
    </w:p>
    <w:p>
      <w:pPr>
        <w:spacing w:after="0" w:line="3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Suite 701</w:t>
      </w:r>
    </w:p>
    <w:p>
      <w:pPr>
        <w:spacing w:after="0" w:line="3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Santa Clara, CA 95054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consent to the use of our report dated March 31, 2026, with respect to the consolidated financial statements of Cerebras Systems Inc., incorporated herein by reference, and to the reference to our firm under the heading “Experts” in the prospectus.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0"/>
        <w:spacing w:after="0"/>
        <w:tabs>
          <w:tab w:leader="none" w:pos="7200" w:val="left"/>
        </w:tabs>
        <w:rPr>
          <w:sz w:val="20"/>
          <w:szCs w:val="20"/>
          <w:color w:val="auto"/>
        </w:rPr>
      </w:pPr>
      <w:r>
        <w:rPr>
          <w:rFonts w:ascii="Arial" w:cs="Arial" w:eastAsia="Arial" w:hAnsi="Arial"/>
          <w:sz w:val="10"/>
          <w:szCs w:val="10"/>
          <w:color w:val="auto"/>
        </w:rPr>
        <w:t>KPMG LLP, a Delaware limited liability partnership, and its subsidiaries are part of</w:t>
        <w:tab/>
        <w:t>the  KPMG  global</w:t>
      </w:r>
    </w:p>
    <w:p>
      <w:pPr>
        <w:spacing w:after="0" w:line="19" w:lineRule="exact"/>
        <w:rPr>
          <w:sz w:val="20"/>
          <w:szCs w:val="20"/>
          <w:color w:val="auto"/>
        </w:rPr>
      </w:pPr>
    </w:p>
    <w:p>
      <w:pPr>
        <w:ind w:left="3200"/>
        <w:spacing w:after="0"/>
        <w:tabs>
          <w:tab w:leader="none" w:pos="6240" w:val="left"/>
        </w:tabs>
        <w:rPr>
          <w:sz w:val="20"/>
          <w:szCs w:val="20"/>
          <w:color w:val="auto"/>
        </w:rPr>
      </w:pPr>
      <w:r>
        <w:rPr>
          <w:rFonts w:ascii="Arial" w:cs="Arial" w:eastAsia="Arial" w:hAnsi="Arial"/>
          <w:sz w:val="10"/>
          <w:szCs w:val="10"/>
          <w:color w:val="auto"/>
        </w:rPr>
        <w:t>organization of independent member firms affiliated with KPMG</w:t>
        <w:tab/>
        <w:t>International Limited, a private English</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0"/>
          <w:szCs w:val="10"/>
          <w:color w:val="auto"/>
        </w:rPr>
        <w:t>company limited by guarantee.</w:t>
      </w:r>
    </w:p>
    <w:sectPr>
      <w:pgSz w:w="11900" w:h="16838" w:orient="portrait"/>
      <w:cols w:equalWidth="0" w:num="1">
        <w:col w:w="11240"/>
      </w:cols>
      <w:pgMar w:left="320" w:top="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3"/>
    </w:lvl>
  </w:abstractNum>
  <w:abstractNum w:abstractNumId="6">
    <w:nsid w:val="109CF92E"/>
    <w:multiLevelType w:val="hybridMultilevel"/>
    <w:lvl w:ilvl="0">
      <w:lvlJc w:val="left"/>
      <w:lvlText w:val="(%1)"/>
      <w:numFmt w:val="decimal"/>
      <w:start w:val="14"/>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4"/>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6">
    <w:nsid w:val="3F2DBA31"/>
    <w:multiLevelType w:val="hybridMultilevel"/>
    <w:lvl w:ilvl="0">
      <w:lvlJc w:val="left"/>
      <w:lvlText w:val="(%1)"/>
      <w:numFmt w:val="lowerRoman"/>
      <w:start w:val="3"/>
    </w:lvl>
  </w:abstractNum>
  <w:abstractNum w:abstractNumId="17">
    <w:nsid w:val="7C83E458"/>
    <w:multiLevelType w:val="hybridMultilevel"/>
    <w:lvl w:ilvl="0">
      <w:lvlJc w:val="left"/>
      <w:lvlText w:val="%1"/>
      <w:numFmt w:val="upperLetter"/>
      <w:start w:val="1"/>
    </w:lvl>
    <w:lvl w:ilvl="1">
      <w:lvlJc w:val="left"/>
      <w:lvlText w:val="(%2)"/>
      <w:numFmt w:val="decimal"/>
      <w:start w:val="2"/>
    </w:lvl>
  </w:abstractNum>
  <w:abstractNum w:abstractNumId="18">
    <w:nsid w:val="257130A3"/>
    <w:multiLevelType w:val="hybridMultilevel"/>
    <w:lvl w:ilvl="0">
      <w:lvlJc w:val="left"/>
      <w:lvlText w:val="%1."/>
      <w:numFmt w:val="upperLetter"/>
      <w:start w:val="2"/>
    </w:lvl>
    <w:lvl w:ilvl="1">
      <w:lvlJc w:val="left"/>
      <w:lvlText w:val="%2"/>
      <w:numFmt w:val="decimal"/>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image" Target="media/image22.jpeg"/><Relationship Id="rId14" Type="http://schemas.openxmlformats.org/officeDocument/2006/relationships/hyperlink" Target="https://www.sec.gov/Archives/edgar/data/2021728/000162828026033143/cerebras-sx1a2.htm" TargetMode="External"/><Relationship Id="rId15" Type="http://schemas.openxmlformats.org/officeDocument/2006/relationships/hyperlink" Target="https://www.sec.gov/Archives/edgar/data/2021728/000162828026033418/cerebras-form8xa.htm" TargetMode="External"/><Relationship Id="rId16" Type="http://schemas.openxmlformats.org/officeDocument/2006/relationships/hyperlink" Target="https://www.sec.gov/Archives/edgar/data/2021728/000162828026025762/exhibit31-sx1.htm" TargetMode="External"/><Relationship Id="rId17" Type="http://schemas.openxmlformats.org/officeDocument/2006/relationships/hyperlink" Target="https://www.sec.gov/Archives/edgar/data/2021728/000162828026025762/exhibit-32xsx1.htm" TargetMode="External"/><Relationship Id="rId18" Type="http://schemas.openxmlformats.org/officeDocument/2006/relationships/hyperlink" Target="https://www.sec.gov/Archives/edgar/data/2021728/000162828026025762/exhibit33-sx1.htm" TargetMode="External"/><Relationship Id="rId19" Type="http://schemas.openxmlformats.org/officeDocument/2006/relationships/hyperlink" Target="https://www.sec.gov/Archives/edgar/data/2021728/000162828026025762/exhibit34-sx1.htm" TargetMode="External"/><Relationship Id="rId20" Type="http://schemas.openxmlformats.org/officeDocument/2006/relationships/hyperlink" Target="https://www.sec.gov/Archives/edgar/data/2021728/000162828026025762/exhibit42-sx1.htm" TargetMode="External"/><Relationship Id="rId21" Type="http://schemas.openxmlformats.org/officeDocument/2006/relationships/hyperlink" Target="https://www.sec.gov/Archives/edgar/data/2021728/000162828026025762/exhibit102a-sx1.htm" TargetMode="External"/><Relationship Id="rId22" Type="http://schemas.openxmlformats.org/officeDocument/2006/relationships/hyperlink" Target="https://www.sec.gov/Archives/edgar/data/2021728/000162828026025762/exhibit102b-sx1.htm" TargetMode="External"/><Relationship Id="rId23" Type="http://schemas.openxmlformats.org/officeDocument/2006/relationships/hyperlink" Target="https://www.sec.gov/Archives/edgar/data/2021728/000162828026025762/exhibit102c-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2026-05-14T06:43:44Z</dcterms:created>
  <dcterms:modified xsi:type="dcterms:W3CDTF">2026-05-14T06:43:44Z</dcterms:modified>
</cp:coreProperties>
</file>