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Cerebras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COATUE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7,011,028.00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7,011,028.00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7,011,028.00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June 30, 2026, this Reporting Person was deemed to indirectly beneficially own 6,670,101 shares of Class B common stock of the Issuer which the Reporting Person was able to convert to Class A common stock within 60 days.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Philippe Laffont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7,011,028.00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7,011,028.00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7,011,028.00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June 30, 2026, this Reporting Person was deemed to indirectly beneficially own 6,670,101 shares of Class B common stock of the Issuer which the Reporting Person was able to convert to Class A common stock within 60 days.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Coatue Private Fund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6,129,242.00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6,129,242.00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6,129,242.00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June 30, 2026, this Reporting Person was deemed to directly beneficially own 6,129,242 shares of Class B common stock of the Issuer which the Reporting Person was able to convert to Class A common stock within 60 days.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Coatue Private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6,129,242.00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6,129,242.00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6,129,242.00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June 30, 2026, this Reporting Person was deemed to indirectly beneficially own 6,129,242 shares of Class B common stock of the Issuer which the Reporting Person was able to convert to Class A common stock within 60 days.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Cerebras Systems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1237 E. Arques Avenue Sunnyvale, California 94085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Coatue Management, L.L.C. Philippe Laffont Coatue Private Fund II LP Coatue Private II GP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Coatue Management, L.L.C. 9 West 57th street, 25th Floor New York, New York 10019 Philippe Laffont c/o Coatue Management, L.L.C. 9 West 57th Street New York, New York 10019 Coatue Private Fund II LP c/o Coatue Management, L.L.C. 9 West 57th Street New York, New York 10019 Coatue Private II GP LLC c/o Coatue Management, L.L.C. 9 West 57th Street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Coatue Management, L.L.C. - Delaware Philippe Laffont - United States Coatue Private Fund II LP - Delaware Coatue Private II GP LLC -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Coatue Management, L.L.C. - 7,011,028 Philippe Laffont - 7,011,028 Coatue Private Fund II LP - 6,129,242 Coatue Private II GP LLC - 6,129,242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Coatue Management, L.L.C. - 7.1% Philippe Laffont - 7.1% Coatue Private Fund II LP - 6.2% Coatue Private II GP LLC - 6.2%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Coatue Management, L.L.C. - 0 Philippe Laffont - 0 Coatue Private Fund II LP - 0 Coatue Private II GP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Coatue Management, L.L.C. - 7,011,028 Philippe Laffont - 7,011,028 Coatue Private Fund II LP - 6,129,242 Coatue Private II GP LLC - 6,129,242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Coatue Management, L.L.C. - 0 Philippe Laffont - 0 Coatue Private Fund II LP - 0 Coatue Private II GP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Coatue Management, L.L.C. - 7,011,028 Philippe Laffont - 7,011,028 Coatue Private Fund II LP - 6,129,242 Coatue Private II GP LLC - 6,129,242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Coatue Management, L.L.C. None of those advisory clients, other than Coatue Private Fund II LP, may be deemed to beneficially own more than 5% of the Class A 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COATUE MANAGEMENT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Philippe Laffont</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Philippe Laffont,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Philippe Laffont</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Philippe Laffont</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Philippe Laffont</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Coatue Private Fund II LP</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Coatue Private II GP, LLC, its general partner, /s/ Philippe Laffont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Philippe Laffont,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Coatue Private II GP LLC</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Philippe Laffont</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Philippe Laffont</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8" w:name="p15052230exh_a.htm"/>
      <w:bookmarkStart w:id="29" w:name="ksp15052230exh_a"/>
      <w:bookmarkEnd w:id="28"/>
      <w:bookmarkEnd w:id="29"/>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August 14, 2026 relating to the Class A common stock, $0.00001 par value per share, of Cerebras Systems Inc. shall be filed on behalf of the undersigned.</w:t>
      </w:r>
    </w:p>
    <w:p>
      <w:pPr>
        <w:pStyle w:val="TextBody"/>
        <w:bidi w:val="0"/>
        <w:spacing w:before="0" w:after="0"/>
        <w:jc w:val="left"/>
        <w:rPr>
          <w:caps w:val="false"/>
          <w:smallCaps w:val="false"/>
        </w:rPr>
      </w:pPr>
      <w:r>
        <w:rPr>
          <w:caps w:val="false"/>
          <w:smallCaps w:val="false"/>
        </w:rPr>
        <w:t> </w:t>
      </w:r>
    </w:p>
    <w:tbl>
      <w:tblPr>
        <w:tblW w:w="4879" w:type="dxa"/>
        <w:jc w:val="left"/>
        <w:tblInd w:w="0" w:type="dxa"/>
        <w:tblLayout w:type="fixed"/>
        <w:tblCellMar>
          <w:top w:w="0" w:type="dxa"/>
          <w:left w:w="0" w:type="dxa"/>
          <w:bottom w:w="0" w:type="dxa"/>
          <w:right w:w="0" w:type="dxa"/>
        </w:tblCellMar>
      </w:tblPr>
      <w:tblGrid>
        <w:gridCol w:w="75"/>
        <w:gridCol w:w="985"/>
        <w:gridCol w:w="3819"/>
      </w:tblGrid>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sz w:val="22"/>
              </w:rPr>
            </w:pPr>
            <w:r>
              <w:rPr>
                <w:sz w:val="22"/>
              </w:rPr>
              <w:t>COATUE MANAGEMENT, L.L.C.</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sz w:val="22"/>
              </w:rPr>
            </w:pPr>
            <w:r>
              <w:rPr>
                <w:sz w:val="22"/>
              </w:rPr>
              <w:t xml:space="preserve">By: </w:t>
            </w:r>
          </w:p>
        </w:tc>
        <w:tc>
          <w:tcPr>
            <w:tcW w:w="3819" w:type="dxa"/>
            <w:tcBorders>
              <w:bottom w:val="single" w:sz="8" w:space="0" w:color="000000"/>
            </w:tcBorders>
            <w:tcMar>
              <w:bottom w:w="28" w:type="dxa"/>
            </w:tcMar>
            <w:vAlign w:val="center"/>
          </w:tcPr>
          <w:p>
            <w:pPr>
              <w:pStyle w:val="TableContents"/>
              <w:bidi w:val="0"/>
              <w:spacing w:before="0" w:after="283"/>
              <w:jc w:val="left"/>
              <w:rPr>
                <w:sz w:val="22"/>
              </w:rPr>
            </w:pPr>
            <w:r>
              <w:rPr>
                <w:sz w:val="22"/>
              </w:rPr>
              <w:t>/s/ Philippe Laffont</w:t>
            </w:r>
          </w:p>
        </w:tc>
      </w:tr>
      <w:tr>
        <w:trPr/>
        <w:tc>
          <w:tcPr>
            <w:tcW w:w="75" w:type="dxa"/>
            <w:tcBorders/>
            <w:vAlign w:val="center"/>
          </w:tcPr>
          <w:p>
            <w:pPr>
              <w:pStyle w:val="TableContents"/>
              <w:bidi w:val="0"/>
              <w:spacing w:before="0" w:after="283"/>
              <w:jc w:val="center"/>
              <w:rPr/>
            </w:pPr>
            <w:r>
              <w:rPr/>
              <w:t> </w:t>
            </w:r>
          </w:p>
        </w:tc>
        <w:tc>
          <w:tcPr>
            <w:tcW w:w="4804" w:type="dxa"/>
            <w:gridSpan w:val="2"/>
            <w:tcBorders/>
            <w:vAlign w:val="center"/>
          </w:tcPr>
          <w:p>
            <w:pPr>
              <w:pStyle w:val="TableContents"/>
              <w:bidi w:val="0"/>
              <w:spacing w:before="0" w:after="283"/>
              <w:jc w:val="left"/>
              <w:rPr>
                <w:sz w:val="22"/>
              </w:rPr>
            </w:pPr>
            <w:r>
              <w:rPr>
                <w:sz w:val="22"/>
              </w:rPr>
              <w:t>Name: Philippe Laffont</w:t>
            </w:r>
          </w:p>
        </w:tc>
      </w:tr>
      <w:tr>
        <w:trPr/>
        <w:tc>
          <w:tcPr>
            <w:tcW w:w="75" w:type="dxa"/>
            <w:tcBorders/>
            <w:vAlign w:val="center"/>
          </w:tcPr>
          <w:p>
            <w:pPr>
              <w:pStyle w:val="TableContents"/>
              <w:bidi w:val="0"/>
              <w:spacing w:before="0" w:after="283"/>
              <w:jc w:val="center"/>
              <w:rPr/>
            </w:pPr>
            <w:r>
              <w:rPr/>
              <w:t> </w:t>
            </w:r>
          </w:p>
        </w:tc>
        <w:tc>
          <w:tcPr>
            <w:tcW w:w="4804" w:type="dxa"/>
            <w:gridSpan w:val="2"/>
            <w:tcBorders/>
            <w:vAlign w:val="center"/>
          </w:tcPr>
          <w:p>
            <w:pPr>
              <w:pStyle w:val="TableContents"/>
              <w:bidi w:val="0"/>
              <w:spacing w:before="0" w:after="283"/>
              <w:jc w:val="left"/>
              <w:rPr>
                <w:sz w:val="22"/>
              </w:rPr>
            </w:pPr>
            <w:r>
              <w:rPr>
                <w:sz w:val="22"/>
              </w:rPr>
              <w:t xml:space="preserve">Title:   Authorized Signatory </w:t>
            </w:r>
          </w:p>
        </w:tc>
      </w:tr>
      <w:tr>
        <w:trPr/>
        <w:tc>
          <w:tcPr>
            <w:tcW w:w="75" w:type="dxa"/>
            <w:tcBorders/>
            <w:vAlign w:val="center"/>
          </w:tcPr>
          <w:p>
            <w:pPr>
              <w:pStyle w:val="TableContents"/>
              <w:bidi w:val="0"/>
              <w:spacing w:before="0" w:after="283"/>
              <w:jc w:val="center"/>
              <w:rPr/>
            </w:pPr>
            <w:r>
              <w:rPr/>
              <w:t> </w:t>
            </w:r>
          </w:p>
        </w:tc>
        <w:tc>
          <w:tcPr>
            <w:tcW w:w="4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center"/>
              <w:rPr/>
            </w:pPr>
            <w:r>
              <w:rPr/>
              <w:t> </w:t>
            </w:r>
          </w:p>
        </w:tc>
        <w:tc>
          <w:tcPr>
            <w:tcW w:w="4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sz w:val="22"/>
              </w:rPr>
            </w:pPr>
            <w:r>
              <w:rPr>
                <w:sz w:val="22"/>
              </w:rPr>
              <w:t>PHILIPPE LAFFONT</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r>
              <w:rPr>
                <w:sz w:val="22"/>
              </w:rPr>
              <w:t xml:space="preserve">By: </w:t>
            </w:r>
          </w:p>
        </w:tc>
        <w:tc>
          <w:tcPr>
            <w:tcW w:w="3819" w:type="dxa"/>
            <w:tcBorders>
              <w:bottom w:val="single" w:sz="8" w:space="0" w:color="000000"/>
            </w:tcBorders>
            <w:tcMar>
              <w:bottom w:w="28" w:type="dxa"/>
            </w:tcMar>
            <w:vAlign w:val="center"/>
          </w:tcPr>
          <w:p>
            <w:pPr>
              <w:pStyle w:val="TableContents"/>
              <w:bidi w:val="0"/>
              <w:spacing w:before="0" w:after="283"/>
              <w:jc w:val="left"/>
              <w:rPr>
                <w:sz w:val="22"/>
              </w:rPr>
            </w:pPr>
            <w:r>
              <w:rPr>
                <w:sz w:val="22"/>
              </w:rPr>
              <w:t>/s/ Philippe Laffont</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sz w:val="22"/>
              </w:rPr>
            </w:pPr>
            <w:r>
              <w:rPr>
                <w:sz w:val="22"/>
              </w:rPr>
              <w:t>COATUE PRIVATE FUND II LP</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pPr>
            <w:r>
              <w:rPr/>
              <w:t>By: Coatue Private II GP, LLC, its general partner</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sz w:val="22"/>
              </w:rPr>
            </w:pPr>
            <w:r>
              <w:rPr>
                <w:sz w:val="22"/>
              </w:rPr>
              <w:t xml:space="preserve">By: </w:t>
            </w:r>
          </w:p>
        </w:tc>
        <w:tc>
          <w:tcPr>
            <w:tcW w:w="3819" w:type="dxa"/>
            <w:tcBorders>
              <w:bottom w:val="single" w:sz="8" w:space="0" w:color="000000"/>
            </w:tcBorders>
            <w:tcMar>
              <w:bottom w:w="28" w:type="dxa"/>
            </w:tcMar>
            <w:vAlign w:val="center"/>
          </w:tcPr>
          <w:p>
            <w:pPr>
              <w:pStyle w:val="TableContents"/>
              <w:bidi w:val="0"/>
              <w:spacing w:before="0" w:after="283"/>
              <w:jc w:val="left"/>
              <w:rPr>
                <w:sz w:val="22"/>
              </w:rPr>
            </w:pPr>
            <w:r>
              <w:rPr>
                <w:sz w:val="22"/>
              </w:rPr>
              <w:t>/s/ Philippe Laffont</w:t>
            </w:r>
          </w:p>
        </w:tc>
      </w:tr>
      <w:tr>
        <w:trPr/>
        <w:tc>
          <w:tcPr>
            <w:tcW w:w="75" w:type="dxa"/>
            <w:tcBorders/>
            <w:vAlign w:val="center"/>
          </w:tcPr>
          <w:p>
            <w:pPr>
              <w:pStyle w:val="TableContents"/>
              <w:bidi w:val="0"/>
              <w:spacing w:before="0" w:after="283"/>
              <w:jc w:val="center"/>
              <w:rPr/>
            </w:pPr>
            <w:r>
              <w:rPr/>
              <w:t> </w:t>
            </w:r>
          </w:p>
        </w:tc>
        <w:tc>
          <w:tcPr>
            <w:tcW w:w="4804" w:type="dxa"/>
            <w:gridSpan w:val="2"/>
            <w:tcBorders/>
            <w:vAlign w:val="center"/>
          </w:tcPr>
          <w:p>
            <w:pPr>
              <w:pStyle w:val="TableContents"/>
              <w:bidi w:val="0"/>
              <w:spacing w:before="0" w:after="283"/>
              <w:jc w:val="left"/>
              <w:rPr>
                <w:sz w:val="22"/>
              </w:rPr>
            </w:pPr>
            <w:r>
              <w:rPr>
                <w:sz w:val="22"/>
              </w:rPr>
              <w:t xml:space="preserve">Name: Philippe Laffont </w:t>
            </w:r>
          </w:p>
        </w:tc>
      </w:tr>
      <w:tr>
        <w:trPr/>
        <w:tc>
          <w:tcPr>
            <w:tcW w:w="75" w:type="dxa"/>
            <w:tcBorders/>
            <w:vAlign w:val="center"/>
          </w:tcPr>
          <w:p>
            <w:pPr>
              <w:pStyle w:val="TableContents"/>
              <w:bidi w:val="0"/>
              <w:spacing w:before="0" w:after="283"/>
              <w:jc w:val="center"/>
              <w:rPr/>
            </w:pPr>
            <w:r>
              <w:rPr/>
              <w:t> </w:t>
            </w:r>
          </w:p>
        </w:tc>
        <w:tc>
          <w:tcPr>
            <w:tcW w:w="4804" w:type="dxa"/>
            <w:gridSpan w:val="2"/>
            <w:tcBorders/>
            <w:vAlign w:val="center"/>
          </w:tcPr>
          <w:p>
            <w:pPr>
              <w:pStyle w:val="TableContents"/>
              <w:bidi w:val="0"/>
              <w:spacing w:before="0" w:after="283"/>
              <w:jc w:val="left"/>
              <w:rPr>
                <w:sz w:val="22"/>
              </w:rPr>
            </w:pPr>
            <w:r>
              <w:rPr>
                <w:sz w:val="22"/>
              </w:rPr>
              <w:t xml:space="preserve">Title:   Authorized Signatory </w:t>
            </w:r>
          </w:p>
        </w:tc>
      </w:tr>
      <w:tr>
        <w:trPr/>
        <w:tc>
          <w:tcPr>
            <w:tcW w:w="75" w:type="dxa"/>
            <w:tcBorders/>
            <w:vAlign w:val="center"/>
          </w:tcPr>
          <w:p>
            <w:pPr>
              <w:pStyle w:val="TableContents"/>
              <w:bidi w:val="0"/>
              <w:spacing w:before="0" w:after="283"/>
              <w:jc w:val="left"/>
              <w:rPr/>
            </w:pPr>
            <w:r>
              <w:rPr/>
              <w:t> </w:t>
            </w:r>
          </w:p>
        </w:tc>
        <w:tc>
          <w:tcPr>
            <w:tcW w:w="4804" w:type="dxa"/>
            <w:gridSpan w:val="2"/>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3064" w:type="dxa"/>
        <w:jc w:val="left"/>
        <w:tblInd w:w="0" w:type="dxa"/>
        <w:tblLayout w:type="fixed"/>
        <w:tblCellMar>
          <w:top w:w="0" w:type="dxa"/>
          <w:left w:w="0" w:type="dxa"/>
          <w:bottom w:w="0" w:type="dxa"/>
          <w:right w:w="0" w:type="dxa"/>
        </w:tblCellMar>
      </w:tblPr>
      <w:tblGrid>
        <w:gridCol w:w="75"/>
        <w:gridCol w:w="549"/>
        <w:gridCol w:w="2440"/>
      </w:tblGrid>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sz w:val="22"/>
              </w:rPr>
            </w:pPr>
            <w:r>
              <w:rPr>
                <w:sz w:val="22"/>
              </w:rPr>
              <w:t>COATUE PRIVATE II GP LLC</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sz w:val="22"/>
              </w:rPr>
            </w:pPr>
            <w:r>
              <w:rPr>
                <w:sz w:val="22"/>
              </w:rPr>
              <w:t xml:space="preserve">By: </w:t>
            </w:r>
          </w:p>
        </w:tc>
        <w:tc>
          <w:tcPr>
            <w:tcW w:w="2440" w:type="dxa"/>
            <w:tcBorders>
              <w:bottom w:val="single" w:sz="8" w:space="0" w:color="000000"/>
            </w:tcBorders>
            <w:tcMar>
              <w:bottom w:w="28" w:type="dxa"/>
            </w:tcMar>
            <w:vAlign w:val="center"/>
          </w:tcPr>
          <w:p>
            <w:pPr>
              <w:pStyle w:val="TableContents"/>
              <w:bidi w:val="0"/>
              <w:spacing w:before="0" w:after="283"/>
              <w:jc w:val="left"/>
              <w:rPr>
                <w:sz w:val="22"/>
              </w:rPr>
            </w:pPr>
            <w:r>
              <w:rPr>
                <w:sz w:val="22"/>
              </w:rPr>
              <w:t>/s/ Philippe Laffont</w:t>
            </w:r>
          </w:p>
        </w:tc>
      </w:tr>
      <w:tr>
        <w:trPr/>
        <w:tc>
          <w:tcPr>
            <w:tcW w:w="75" w:type="dxa"/>
            <w:tcBorders/>
            <w:vAlign w:val="center"/>
          </w:tcPr>
          <w:p>
            <w:pPr>
              <w:pStyle w:val="TableContents"/>
              <w:bidi w:val="0"/>
              <w:spacing w:before="0" w:after="283"/>
              <w:jc w:val="center"/>
              <w:rPr/>
            </w:pPr>
            <w:r>
              <w:rPr/>
              <w:t> </w:t>
            </w:r>
          </w:p>
        </w:tc>
        <w:tc>
          <w:tcPr>
            <w:tcW w:w="2989" w:type="dxa"/>
            <w:gridSpan w:val="2"/>
            <w:tcBorders/>
            <w:vAlign w:val="center"/>
          </w:tcPr>
          <w:p>
            <w:pPr>
              <w:pStyle w:val="TableContents"/>
              <w:bidi w:val="0"/>
              <w:spacing w:before="0" w:after="283"/>
              <w:jc w:val="left"/>
              <w:rPr>
                <w:sz w:val="22"/>
              </w:rPr>
            </w:pPr>
            <w:r>
              <w:rPr>
                <w:sz w:val="22"/>
              </w:rPr>
              <w:t xml:space="preserve">Name: Philippe Laffont </w:t>
            </w:r>
          </w:p>
        </w:tc>
      </w:tr>
      <w:tr>
        <w:trPr/>
        <w:tc>
          <w:tcPr>
            <w:tcW w:w="75" w:type="dxa"/>
            <w:tcBorders/>
            <w:vAlign w:val="center"/>
          </w:tcPr>
          <w:p>
            <w:pPr>
              <w:pStyle w:val="TableContents"/>
              <w:bidi w:val="0"/>
              <w:spacing w:before="0" w:after="283"/>
              <w:jc w:val="center"/>
              <w:rPr/>
            </w:pPr>
            <w:r>
              <w:rPr/>
              <w:t> </w:t>
            </w:r>
          </w:p>
        </w:tc>
        <w:tc>
          <w:tcPr>
            <w:tcW w:w="2989" w:type="dxa"/>
            <w:gridSpan w:val="2"/>
            <w:tcBorders/>
            <w:vAlign w:val="center"/>
          </w:tcPr>
          <w:p>
            <w:pPr>
              <w:pStyle w:val="TableContents"/>
              <w:bidi w:val="0"/>
              <w:spacing w:before="0" w:after="283"/>
              <w:jc w:val="left"/>
              <w:rPr>
                <w:sz w:val="22"/>
              </w:rPr>
            </w:pPr>
            <w:r>
              <w:rPr>
                <w:sz w:val="22"/>
              </w:rPr>
              <w:t>Title:   Authorized Signatory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0" w:name="p15052230exh_b.htm"/>
      <w:bookmarkStart w:id="31" w:name="ksp15052230exh_b"/>
      <w:bookmarkEnd w:id="30"/>
      <w:bookmarkEnd w:id="31"/>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Coatue Management, L.L.C. is the relevant entity for which Philippe Laffont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1783</Words>
  <Characters>9099</Characters>
  <CharactersWithSpaces>10857</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(untitled)</dc:title>
</cp:coreProperties>
</file>