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erif" w:hAnsi="Times New Roman;serif"/>
          <w:b/>
          <w:color w:val="000000"/>
          <w:sz w:val="32"/>
        </w:rPr>
      </w:pPr>
      <w:r>
        <w:rPr>
          <w:rFonts w:ascii="Times New Roman;serif" w:hAnsi="Times New Roman;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5"/>
        <w:gridCol w:w="119"/>
        <w:gridCol w:w="119"/>
        <w:gridCol w:w="119"/>
        <w:gridCol w:w="119"/>
        <w:gridCol w:w="119"/>
        <w:gridCol w:w="960"/>
        <w:gridCol w:w="960"/>
        <w:gridCol w:w="960"/>
        <w:gridCol w:w="1066"/>
        <w:gridCol w:w="960"/>
        <w:gridCol w:w="960"/>
        <w:gridCol w:w="960"/>
        <w:gridCol w:w="960"/>
        <w:gridCol w:w="986"/>
        <w:gridCol w:w="109"/>
        <w:gridCol w:w="109"/>
        <w:gridCol w:w="109"/>
        <w:gridCol w:w="109"/>
        <w:gridCol w:w="109"/>
        <w:gridCol w:w="158"/>
      </w:tblGrid>
      <w:tr>
        <w:trPr/>
        <w:tc>
          <w:tcPr>
            <w:tcW w:w="1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 One)</w:t>
            </w:r>
          </w:p>
        </w:tc>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w:t>
            </w:r>
          </w:p>
        </w:tc>
        <w:tc>
          <w:tcPr>
            <w:tcW w:w="2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Commission file number 001-43284</w:t>
            </w:r>
          </w:p>
        </w:tc>
        <w:tc>
          <w:tcPr>
            <w:tcW w:w="2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Cerebras Systems Inc.</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564" w:type="dxa"/>
        <w:jc w:val="center"/>
        <w:tblInd w:w="0" w:type="dxa"/>
        <w:tblLayout w:type="fixed"/>
        <w:tblCellMar>
          <w:top w:w="28" w:type="dxa"/>
          <w:left w:w="28" w:type="dxa"/>
          <w:bottom w:w="28" w:type="dxa"/>
          <w:right w:w="28" w:type="dxa"/>
        </w:tblCellMar>
      </w:tblPr>
      <w:tblGrid>
        <w:gridCol w:w="1058"/>
        <w:gridCol w:w="927"/>
        <w:gridCol w:w="940"/>
        <w:gridCol w:w="1272"/>
        <w:gridCol w:w="1272"/>
        <w:gridCol w:w="1280"/>
        <w:gridCol w:w="530"/>
        <w:gridCol w:w="530"/>
        <w:gridCol w:w="755"/>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81-2256092</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(I.R.S. Employer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Number)</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1237 E. Arques Avenue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Sunnyvale, California</w:t>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94085</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(650) 933-4980</w:t>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20" w:type="dxa"/>
        <w:jc w:val="center"/>
        <w:tblInd w:w="0" w:type="dxa"/>
        <w:tblLayout w:type="fixed"/>
        <w:tblCellMar>
          <w:top w:w="28" w:type="dxa"/>
          <w:left w:w="28" w:type="dxa"/>
          <w:bottom w:w="28" w:type="dxa"/>
          <w:right w:w="28" w:type="dxa"/>
        </w:tblCellMar>
      </w:tblPr>
      <w:tblGrid>
        <w:gridCol w:w="1593"/>
        <w:gridCol w:w="1401"/>
        <w:gridCol w:w="1401"/>
        <w:gridCol w:w="540"/>
        <w:gridCol w:w="540"/>
        <w:gridCol w:w="540"/>
        <w:gridCol w:w="1085"/>
        <w:gridCol w:w="1085"/>
        <w:gridCol w:w="1535"/>
      </w:tblGrid>
      <w:tr>
        <w:trPr/>
        <w:tc>
          <w:tcPr>
            <w:tcW w:w="159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97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3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$0.00001 par value per share</w:t>
            </w:r>
          </w:p>
        </w:tc>
        <w:tc>
          <w:tcPr>
            <w:tcW w:w="16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CBRS</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No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6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6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6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60"/>
              <w:jc w:val="left"/>
              <w:rPr>
                <w:color w:val="000000"/>
              </w:rPr>
            </w:pPr>
            <w:r>
              <w:rPr>
                <w:color w:val="000000"/>
              </w:rPr>
              <w:t>☒</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August 5, 2026, the registrant had outstanding 112,247,109 shares of Class A common stock, 111,601,424 shares of Class B common stock, and 13,715,508 shares of Class N common stock, each with a par value of $0.00001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654"/>
        <w:gridCol w:w="573"/>
        <w:gridCol w:w="573"/>
        <w:gridCol w:w="2653"/>
        <w:gridCol w:w="2577"/>
        <w:gridCol w:w="2632"/>
        <w:gridCol w:w="158"/>
        <w:gridCol w:w="158"/>
        <w:gridCol w:w="227"/>
      </w:tblGrid>
      <w:tr>
        <w:trPr/>
        <w:tc>
          <w:tcPr>
            <w:tcW w:w="65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10">
              <w:r>
                <w:rPr>
                  <w:rStyle w:val="InternetLink"/>
                  <w:rFonts w:ascii="Times New Roman;serif" w:hAnsi="Times New Roman;serif"/>
                  <w:b w:val="false"/>
                  <w:color w:val="0000FF"/>
                  <w:sz w:val="20"/>
                  <w:u w:val="single"/>
                </w:rPr>
                <w:t>Note Regarding Forward-Looking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10">
              <w:r>
                <w:rPr>
                  <w:rStyle w:val="InternetLink"/>
                  <w:rFonts w:ascii="Times New Roman;serif" w:hAnsi="Times New Roman;serif"/>
                  <w:b w:val="false"/>
                  <w:color w:val="0000FF"/>
                  <w:sz w:val="20"/>
                  <w:u w:val="single"/>
                </w:rPr>
                <w:t>3</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668">
              <w:r>
                <w:rPr>
                  <w:rStyle w:val="InternetLink"/>
                  <w:rFonts w:ascii="Times New Roman;serif" w:hAnsi="Times New Roman;serif"/>
                  <w:b w:val="false"/>
                  <w:color w:val="000080"/>
                  <w:sz w:val="20"/>
                  <w:u w:val="single"/>
                </w:rPr>
                <w:t>W</w:t>
              </w:r>
            </w:hyperlink>
            <w:hyperlink w:anchor="i0b9bae19d61f41a698944f6297eab4de_668">
              <w:r>
                <w:rPr>
                  <w:rStyle w:val="InternetLink"/>
                  <w:rFonts w:ascii="Times New Roman;serif" w:hAnsi="Times New Roman;serif"/>
                  <w:b w:val="false"/>
                  <w:color w:val="000080"/>
                  <w:sz w:val="20"/>
                  <w:u w:val="single"/>
                </w:rPr>
                <w:t xml:space="preserve">here </w:t>
              </w:r>
            </w:hyperlink>
            <w:hyperlink w:anchor="i0b9bae19d61f41a698944f6297eab4de_668">
              <w:r>
                <w:rPr>
                  <w:rStyle w:val="InternetLink"/>
                  <w:rFonts w:ascii="Times New Roman;serif" w:hAnsi="Times New Roman;serif"/>
                  <w:b w:val="false"/>
                  <w:color w:val="000080"/>
                  <w:sz w:val="20"/>
                  <w:u w:val="single"/>
                </w:rPr>
                <w:t xml:space="preserve">You Can Find Additional </w:t>
              </w:r>
            </w:hyperlink>
            <w:hyperlink w:anchor="i0b9bae19d61f41a698944f6297eab4de_668">
              <w:r>
                <w:rPr>
                  <w:rStyle w:val="InternetLink"/>
                  <w:rFonts w:ascii="Times New Roman;serif" w:hAnsi="Times New Roman;serif"/>
                  <w:b w:val="false"/>
                  <w:color w:val="000080"/>
                  <w:sz w:val="20"/>
                  <w:u w:val="single"/>
                </w:rPr>
                <w:t>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668">
              <w:r>
                <w:rPr>
                  <w:rStyle w:val="InternetLink"/>
                  <w:rFonts w:ascii="Times New Roman;serif" w:hAnsi="Times New Roman;serif"/>
                  <w:b w:val="false"/>
                  <w:color w:val="0000FF"/>
                  <w:sz w:val="20"/>
                  <w:u w:val="single"/>
                </w:rPr>
                <w:t>5</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13">
              <w:r>
                <w:rPr>
                  <w:rStyle w:val="InternetLink"/>
                  <w:rFonts w:ascii="Times New Roman;serif" w:hAnsi="Times New Roman;serif"/>
                  <w:b w:val="false"/>
                  <w:color w:val="0000FF"/>
                  <w:sz w:val="20"/>
                  <w:u w:val="single"/>
                </w:rPr>
                <w:t>Part I - Financial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13">
              <w:r>
                <w:rPr>
                  <w:rStyle w:val="InternetLink"/>
                  <w:rFonts w:ascii="Times New Roman;serif" w:hAnsi="Times New Roman;serif"/>
                  <w:b w:val="false"/>
                  <w:color w:val="0000FF"/>
                  <w:sz w:val="20"/>
                  <w:u w:val="single"/>
                </w:rPr>
                <w:t>6</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16">
              <w:r>
                <w:rPr>
                  <w:rStyle w:val="InternetLink"/>
                  <w:rFonts w:ascii="Times New Roman;serif" w:hAnsi="Times New Roman;serif"/>
                  <w:b w:val="false"/>
                  <w:color w:val="0000FF"/>
                  <w:sz w:val="20"/>
                  <w:u w:val="single"/>
                </w:rPr>
                <w:t>Item 1. 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16">
              <w:r>
                <w:rPr>
                  <w:rStyle w:val="InternetLink"/>
                  <w:rFonts w:ascii="Times New Roman;serif" w:hAnsi="Times New Roman;serif"/>
                  <w:b w:val="false"/>
                  <w:color w:val="0000FF"/>
                  <w:sz w:val="20"/>
                  <w:u w:val="single"/>
                </w:rPr>
                <w:t>6</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22">
              <w:r>
                <w:rPr>
                  <w:rStyle w:val="InternetLink"/>
                  <w:rFonts w:ascii="Times New Roman;serif" w:hAnsi="Times New Roman;serif"/>
                  <w:b w:val="false"/>
                  <w:color w:val="0000FF"/>
                  <w:sz w:val="20"/>
                  <w:u w:val="single"/>
                </w:rPr>
                <w:t>Condensed Consolidated Balance Sheets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22">
              <w:r>
                <w:rPr>
                  <w:rStyle w:val="InternetLink"/>
                  <w:rFonts w:ascii="Times New Roman;serif" w:hAnsi="Times New Roman;serif"/>
                  <w:b w:val="false"/>
                  <w:color w:val="0000FF"/>
                  <w:sz w:val="20"/>
                  <w:u w:val="single"/>
                </w:rPr>
                <w:t>6</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25">
              <w:r>
                <w:rPr>
                  <w:rStyle w:val="InternetLink"/>
                  <w:rFonts w:ascii="Times New Roman;serif" w:hAnsi="Times New Roman;serif"/>
                  <w:b w:val="false"/>
                  <w:color w:val="0000FF"/>
                  <w:sz w:val="20"/>
                  <w:u w:val="single"/>
                </w:rPr>
                <w:t>Condensed Consolidated Statements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25">
              <w:r>
                <w:rPr>
                  <w:rStyle w:val="InternetLink"/>
                  <w:rFonts w:ascii="Times New Roman;serif" w:hAnsi="Times New Roman;serif"/>
                  <w:b w:val="false"/>
                  <w:color w:val="0000FF"/>
                  <w:sz w:val="20"/>
                  <w:u w:val="single"/>
                </w:rPr>
                <w:t>7</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28">
              <w:r>
                <w:rPr>
                  <w:rStyle w:val="InternetLink"/>
                  <w:rFonts w:ascii="Times New Roman;serif" w:hAnsi="Times New Roman;serif"/>
                  <w:b w:val="false"/>
                  <w:color w:val="0000FF"/>
                  <w:sz w:val="20"/>
                  <w:u w:val="single"/>
                </w:rPr>
                <w:t>Condensed Consolidated Statements of Comprehensive Income (Loss)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28">
              <w:r>
                <w:rPr>
                  <w:rStyle w:val="InternetLink"/>
                  <w:rFonts w:ascii="Times New Roman;serif" w:hAnsi="Times New Roman;serif"/>
                  <w:b w:val="false"/>
                  <w:color w:val="0000FF"/>
                  <w:sz w:val="20"/>
                  <w:u w:val="single"/>
                </w:rPr>
                <w:t>8</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31">
              <w:r>
                <w:rPr>
                  <w:rStyle w:val="InternetLink"/>
                  <w:rFonts w:ascii="Times New Roman;serif" w:hAnsi="Times New Roman;serif"/>
                  <w:b w:val="false"/>
                  <w:color w:val="0000FF"/>
                  <w:sz w:val="20"/>
                  <w:u w:val="single"/>
                </w:rPr>
                <w:t>Condensed Consolidated Statements of Redeemable Convertible Preferred Stock and Stockholders’ Equity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31">
              <w:r>
                <w:rPr>
                  <w:rStyle w:val="InternetLink"/>
                  <w:rFonts w:ascii="Times New Roman;serif" w:hAnsi="Times New Roman;serif"/>
                  <w:b w:val="false"/>
                  <w:color w:val="0000FF"/>
                  <w:sz w:val="20"/>
                  <w:u w:val="single"/>
                </w:rPr>
                <w:t>9</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34">
              <w:r>
                <w:rPr>
                  <w:rStyle w:val="InternetLink"/>
                  <w:rFonts w:ascii="Times New Roman;serif" w:hAnsi="Times New Roman;serif"/>
                  <w:b w:val="false"/>
                  <w:color w:val="0000FF"/>
                  <w:sz w:val="20"/>
                  <w:u w:val="single"/>
                </w:rPr>
                <w:t>Condensed Consolidated Statements of Cash Flows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34">
              <w:r>
                <w:rPr>
                  <w:rStyle w:val="InternetLink"/>
                  <w:rFonts w:ascii="Times New Roman;serif" w:hAnsi="Times New Roman;serif"/>
                  <w:b w:val="false"/>
                  <w:color w:val="0000FF"/>
                  <w:sz w:val="20"/>
                  <w:u w:val="single"/>
                </w:rPr>
                <w:t>11</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16">
              <w:r>
                <w:rPr>
                  <w:rStyle w:val="InternetLink"/>
                  <w:rFonts w:ascii="Times New Roman;serif" w:hAnsi="Times New Roman;serif"/>
                  <w:b w:val="false"/>
                  <w:color w:val="0000FF"/>
                  <w:sz w:val="20"/>
                  <w:u w:val="single"/>
                </w:rPr>
                <w:t>Notes to the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37">
              <w:r>
                <w:rPr>
                  <w:rStyle w:val="InternetLink"/>
                  <w:rFonts w:ascii="Times New Roman;serif" w:hAnsi="Times New Roman;serif"/>
                  <w:b w:val="false"/>
                  <w:color w:val="0000FF"/>
                  <w:sz w:val="20"/>
                  <w:u w:val="single"/>
                </w:rPr>
                <w:t>13</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91">
              <w:r>
                <w:rPr>
                  <w:rStyle w:val="InternetLink"/>
                  <w:rFonts w:ascii="Times New Roman;serif" w:hAnsi="Times New Roman;serif"/>
                  <w:b w:val="false"/>
                  <w:color w:val="0000FF"/>
                  <w:sz w:val="20"/>
                  <w:u w:val="single"/>
                </w:rPr>
                <w:t>Item 2. Management</w:t>
              </w:r>
            </w:hyperlink>
            <w:r>
              <w:rPr>
                <w:color w:val="000000"/>
              </w:rPr>
              <w:t>’</w:t>
            </w:r>
            <w:hyperlink w:anchor="i0b9bae19d61f41a698944f6297eab4de_91">
              <w:r>
                <w:rPr>
                  <w:rStyle w:val="InternetLink"/>
                  <w:rFonts w:ascii="Times New Roman;serif" w:hAnsi="Times New Roman;serif"/>
                  <w:b w:val="false"/>
                  <w:color w:val="0000FF"/>
                  <w:sz w:val="20"/>
                  <w:u w:val="single"/>
                </w:rPr>
                <w: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91">
              <w:r>
                <w:rPr>
                  <w:rStyle w:val="InternetLink"/>
                  <w:rFonts w:ascii="Times New Roman;serif" w:hAnsi="Times New Roman;serif"/>
                  <w:b w:val="false"/>
                  <w:color w:val="0000FF"/>
                  <w:sz w:val="20"/>
                  <w:u w:val="single"/>
                </w:rPr>
                <w:t>30</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118">
              <w:r>
                <w:rPr>
                  <w:rStyle w:val="InternetLink"/>
                  <w:rFonts w:ascii="Times New Roman;serif" w:hAnsi="Times New Roman;serif"/>
                  <w:b w:val="false"/>
                  <w:color w:val="0000FF"/>
                  <w:sz w:val="20"/>
                  <w:u w:val="single"/>
                </w:rPr>
                <w:t>Item 3. 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118">
              <w:r>
                <w:rPr>
                  <w:rStyle w:val="InternetLink"/>
                  <w:rFonts w:ascii="Times New Roman;serif" w:hAnsi="Times New Roman;serif"/>
                  <w:b w:val="false"/>
                  <w:color w:val="0000FF"/>
                  <w:sz w:val="20"/>
                  <w:u w:val="single"/>
                </w:rPr>
                <w:t>42</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121">
              <w:r>
                <w:rPr>
                  <w:rStyle w:val="InternetLink"/>
                  <w:rFonts w:ascii="Times New Roman;serif" w:hAnsi="Times New Roman;serif"/>
                  <w:b w:val="false"/>
                  <w:color w:val="0000FF"/>
                  <w:sz w:val="20"/>
                  <w:u w:val="single"/>
                </w:rPr>
                <w:t>Item 4. 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121">
              <w:r>
                <w:rPr>
                  <w:rStyle w:val="InternetLink"/>
                  <w:rFonts w:ascii="Times New Roman;serif" w:hAnsi="Times New Roman;serif"/>
                  <w:b w:val="false"/>
                  <w:color w:val="0000FF"/>
                  <w:sz w:val="20"/>
                  <w:u w:val="single"/>
                </w:rPr>
                <w:t>43</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124">
              <w:r>
                <w:rPr>
                  <w:rStyle w:val="InternetLink"/>
                  <w:rFonts w:ascii="Times New Roman;serif" w:hAnsi="Times New Roman;serif"/>
                  <w:b w:val="false"/>
                  <w:color w:val="0000FF"/>
                  <w:sz w:val="20"/>
                  <w:u w:val="single"/>
                </w:rPr>
                <w:t>Part II - 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124">
              <w:r>
                <w:rPr>
                  <w:rStyle w:val="InternetLink"/>
                  <w:rFonts w:ascii="Times New Roman;serif" w:hAnsi="Times New Roman;serif"/>
                  <w:b w:val="false"/>
                  <w:color w:val="0000FF"/>
                  <w:sz w:val="20"/>
                  <w:u w:val="single"/>
                </w:rPr>
                <w:t>45</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127">
              <w:r>
                <w:rPr>
                  <w:rStyle w:val="InternetLink"/>
                  <w:rFonts w:ascii="Times New Roman;serif" w:hAnsi="Times New Roman;serif"/>
                  <w:b w:val="false"/>
                  <w:color w:val="0000FF"/>
                  <w:sz w:val="20"/>
                  <w:u w:val="single"/>
                </w:rPr>
                <w:t>Item 1. 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127">
              <w:r>
                <w:rPr>
                  <w:rStyle w:val="InternetLink"/>
                  <w:rFonts w:ascii="Times New Roman;serif" w:hAnsi="Times New Roman;serif"/>
                  <w:b w:val="false"/>
                  <w:color w:val="0000FF"/>
                  <w:sz w:val="20"/>
                  <w:u w:val="single"/>
                </w:rPr>
                <w:t>45</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130">
              <w:r>
                <w:rPr>
                  <w:rStyle w:val="InternetLink"/>
                  <w:rFonts w:ascii="Times New Roman;serif" w:hAnsi="Times New Roman;serif"/>
                  <w:b w:val="false"/>
                  <w:color w:val="0000FF"/>
                  <w:sz w:val="20"/>
                  <w:u w:val="single"/>
                </w:rPr>
                <w:t>Item 1A. 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130">
              <w:r>
                <w:rPr>
                  <w:rStyle w:val="InternetLink"/>
                  <w:rFonts w:ascii="Times New Roman;serif" w:hAnsi="Times New Roman;serif"/>
                  <w:b w:val="false"/>
                  <w:color w:val="0000FF"/>
                  <w:sz w:val="20"/>
                  <w:u w:val="single"/>
                </w:rPr>
                <w:t>45</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133">
              <w:r>
                <w:rPr>
                  <w:rStyle w:val="InternetLink"/>
                  <w:rFonts w:ascii="Times New Roman;serif" w:hAnsi="Times New Roman;serif"/>
                  <w:b w:val="false"/>
                  <w:color w:val="0000FF"/>
                  <w:sz w:val="20"/>
                  <w:u w:val="single"/>
                </w:rPr>
                <w:t>Item 2. Unregistered Sales of Equity Securities and Use of Proceeds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133">
              <w:r>
                <w:rPr>
                  <w:rStyle w:val="InternetLink"/>
                  <w:rFonts w:ascii="Times New Roman;serif" w:hAnsi="Times New Roman;serif"/>
                  <w:b w:val="false"/>
                  <w:color w:val="0000FF"/>
                  <w:sz w:val="20"/>
                  <w:u w:val="single"/>
                </w:rPr>
                <w:t>94</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136">
              <w:r>
                <w:rPr>
                  <w:rStyle w:val="InternetLink"/>
                  <w:rFonts w:ascii="Times New Roman;serif" w:hAnsi="Times New Roman;serif"/>
                  <w:b w:val="false"/>
                  <w:color w:val="0000FF"/>
                  <w:sz w:val="20"/>
                  <w:u w:val="single"/>
                </w:rPr>
                <w:t>Item 3. Defaults Upon Senior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136">
              <w:r>
                <w:rPr>
                  <w:rStyle w:val="InternetLink"/>
                  <w:rFonts w:ascii="Times New Roman;serif" w:hAnsi="Times New Roman;serif"/>
                  <w:b w:val="false"/>
                  <w:color w:val="0000FF"/>
                  <w:sz w:val="20"/>
                  <w:u w:val="single"/>
                </w:rPr>
                <w:t>94</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139">
              <w:r>
                <w:rPr>
                  <w:rStyle w:val="InternetLink"/>
                  <w:rFonts w:ascii="Times New Roman;serif" w:hAnsi="Times New Roman;serif"/>
                  <w:b w:val="false"/>
                  <w:color w:val="0000FF"/>
                  <w:sz w:val="20"/>
                  <w:u w:val="single"/>
                </w:rPr>
                <w:t>Item 4. Mine Safety Disclosures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139">
              <w:r>
                <w:rPr>
                  <w:rStyle w:val="InternetLink"/>
                  <w:rFonts w:ascii="Times New Roman;serif" w:hAnsi="Times New Roman;serif"/>
                  <w:b w:val="false"/>
                  <w:color w:val="0000FF"/>
                  <w:sz w:val="20"/>
                  <w:u w:val="single"/>
                </w:rPr>
                <w:t>94</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142">
              <w:r>
                <w:rPr>
                  <w:rStyle w:val="InternetLink"/>
                  <w:rFonts w:ascii="Times New Roman;serif" w:hAnsi="Times New Roman;serif"/>
                  <w:b w:val="false"/>
                  <w:color w:val="0000FF"/>
                  <w:sz w:val="20"/>
                  <w:u w:val="single"/>
                </w:rPr>
                <w:t>Item 5. 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142">
              <w:r>
                <w:rPr>
                  <w:rStyle w:val="InternetLink"/>
                  <w:rFonts w:ascii="Times New Roman;serif" w:hAnsi="Times New Roman;serif"/>
                  <w:b w:val="false"/>
                  <w:color w:val="0000FF"/>
                  <w:sz w:val="20"/>
                  <w:u w:val="single"/>
                </w:rPr>
                <w:t>95</w:t>
              </w:r>
            </w:hyperlink>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145">
              <w:r>
                <w:rPr>
                  <w:rStyle w:val="InternetLink"/>
                  <w:rFonts w:ascii="Times New Roman;serif" w:hAnsi="Times New Roman;serif"/>
                  <w:b w:val="false"/>
                  <w:color w:val="0000FF"/>
                  <w:sz w:val="20"/>
                  <w:u w:val="single"/>
                </w:rPr>
                <w:t>Item 6. 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145">
              <w:r>
                <w:rPr>
                  <w:rStyle w:val="InternetLink"/>
                  <w:rFonts w:ascii="Times New Roman;serif" w:hAnsi="Times New Roman;serif"/>
                  <w:b w:val="false"/>
                  <w:color w:val="0000FF"/>
                  <w:sz w:val="20"/>
                  <w:u w:val="single"/>
                </w:rPr>
                <w:t>96</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b9bae19d61f41a698944f6297eab4de_148">
              <w:r>
                <w:rPr>
                  <w:rStyle w:val="InternetLink"/>
                  <w:rFonts w:ascii="Times New Roman;serif" w:hAnsi="Times New Roman;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bae19d61f41a698944f6297eab4de_148">
              <w:r>
                <w:rPr>
                  <w:rStyle w:val="InternetLink"/>
                  <w:rFonts w:ascii="Times New Roman;serif" w:hAnsi="Times New Roman;serif"/>
                  <w:b w:val="false"/>
                  <w:color w:val="0000FF"/>
                  <w:sz w:val="20"/>
                  <w:u w:val="single"/>
                </w:rPr>
                <w:t>97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All statements contained in this Quarterly Report on Form 10-Q other than statements of historical fact, including statements regarding our future operating results and financial position, our business strategy and plans, market growth, and our objectives for future operations,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our future financial performance, including our expectations regarding our revenue, cash flows, expenses, gross margins, and other results of operations;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our ability to acquire new customers and grow our customer base;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our ability to successfully retain existing customers, including OpenAI OpCo, LLC (“OpenAI”), Group 42 Holding Ltd (together with its affiliates, “G42”), Mohamed bin Zayed University of Artificial Intelligence (“MBZUAI”), Amazon Web Services (“AWS”), and other significant customers, and expand sales within our existing customer base;</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our expectations with respect to the performance of our offerings;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our ability to procure and finance data center capacity in geographies and on the timelines we desire on commercially reasonable terms;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our ability to successfully maintain our relationships with our third-party suppliers and manufacturers;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launching new offerings, adding new product capabilities, and our technology and product roadmap;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future investments in developing and enhancing our business;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our expectations regarding our ability to expand;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design, manufacturing, or product defects;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our ability to effectively manage our growth;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investments in our business, our anticipated capital expenditures, and our estimates regarding our capital requirements;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economic and industry trends, projected growth, or trend analysis, particularly as it relates to artificial intelligence (“AI”) compute;</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investments in our sales and marketing efforts;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our ability to compete effectively with existing competitors and new market entrants;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our reliance on our senior management team and our ability to identify, recruit, and retain skilled personnel;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our ability to obtain, maintain, protect, and enforce our intellectual property rights and any costs associated therewith;</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our ability to comply with laws and regulations that currently apply or become applicable to our business both in the United States and internationally;</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economic trends and other macroeconomic factors, such as tariffs, the cost of power, fluctuating interest rates and rising inflation;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the impact of geopolitical changes or tensions, political conflicts, any global pandemics or health crises, and other global financial, economic, and political events and wars on our industry, customers,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our expected use of net proceeds from our initial public offering (“IPO”); and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other risks and uncertainties described in this Quarterly Report on Form 10-Q, including those under the section titled “Risk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caution you that the foregoing list does not contain all of the forward-looking statements made in this Quarterly Report on Form 10-Q.</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WHERE YOU CAN FIND ADDITIONAL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intend to announce material information to the public through filings with the Securities and Exchange Commission (the “SEC”), the investor relations page on our website (investors.cerebras.ai), which includes our news site, our X account (@cerebras), our LinkedIn page (linkedin.com/company/cerebras-systems/), press releases, public conference calls, and public webcasts. The information contained on, or that can be accessed through, the foregoing channels is not a part of this Quarterly Report on Form 10-Q. The information disclosed by the foregoing channels could be deemed to be material information. Accordingly, investors should monitor these channels, in addition to following our press releases, SEC filings, public conference calls and public webcasts. Any updates to the list of disclosure channels through which we will announce information will be posted on the investor relations page on our website and in our periodic reports filed with the SEC.</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center"/>
        <w:rPr/>
      </w:pPr>
      <w:r>
        <w:rPr>
          <w:rFonts w:ascii="Times New Roman;serif" w:hAnsi="Times New Roman;serif"/>
          <w:b/>
          <w:color w:val="000000"/>
          <w:sz w:val="20"/>
        </w:rPr>
        <w:t>PART I -</w:t>
      </w:r>
      <w:r>
        <w:rPr>
          <w:color w:val="000000"/>
        </w:rPr>
        <w:t xml:space="preserve"> </w:t>
      </w:r>
      <w:r>
        <w:rPr>
          <w:rFonts w:ascii="Times New Roman;serif" w:hAnsi="Times New Roman;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CEREBRAS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2941"/>
        <w:gridCol w:w="2165"/>
        <w:gridCol w:w="2183"/>
        <w:gridCol w:w="196"/>
        <w:gridCol w:w="961"/>
        <w:gridCol w:w="109"/>
        <w:gridCol w:w="109"/>
        <w:gridCol w:w="109"/>
        <w:gridCol w:w="109"/>
        <w:gridCol w:w="212"/>
        <w:gridCol w:w="942"/>
        <w:gridCol w:w="169"/>
      </w:tblGrid>
      <w:tr>
        <w:trPr/>
        <w:tc>
          <w:tcPr>
            <w:tcW w:w="2941"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6,742,157 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701,706 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228,672 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Investments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406,531 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Inventories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63,626 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Customer warrants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60,906 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31,782 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9,121,714 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1,543,646 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Property and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437,396 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Customer warrants, net of current portion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960,635 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91,447 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528,275 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248,950 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Other non-current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11,627,872 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2,326,037 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7"/>
              </w:rPr>
            </w:pPr>
            <w:r>
              <w:rPr>
                <w:rFonts w:ascii="Times New Roman;serif" w:hAnsi="Times New Roman;serif"/>
                <w:b/>
                <w:color w:val="000000"/>
                <w:sz w:val="17"/>
              </w:rPr>
              <w:t>LIABILITIES, REDEEMABLE CONVERTIBLE PREFERRED STOCK, AND STOCKHOLDERS’ EQUITY (DEFICIT)</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48,630 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131,049 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45,865 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Customer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354,460 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Working capital loan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736,036 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Accrued and other current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139,536 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1,566,088 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719,540 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 net of current portion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35,847 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Operating lease liability, net of current portion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215,957 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Working capital loan, net of current portion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2,473,230 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971,344 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16)</w:t>
            </w:r>
          </w:p>
        </w:tc>
        <w:tc>
          <w:tcPr>
            <w:tcW w:w="1266"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Redeemable convertible preferred stock, $0.00001 par value per share: 100,000,000 shares and 113,258,719 shares authorized, at June 30, 2026 and December 31, 2025, respectively; nil and 113,258,716 shares issued and outstanding as of June 30, 2026 and December 31, 2025,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1,933,348 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Stockholders’ equity (deficit)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A common stock, $0.00001 par value; 3,500,000,000 and 271,800,000 shares authorized at June 30, 2026 and December 31, 2025, respectively; 103,220,568 and 57,907,093 shares issued and outstanding as of June 30, 2026 and December 31, 2025,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B common stock, $0.00001 par value; 240,000,000 and nil shares authorized at June 30, 2026 and December 31, 2025, respectively; 121,301,359 and nil shares issued and outstanding as of June 30, 2026 and December 31, 2025,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N common stock, $0.00001 par value; 100,000,000 and 37,100,000 shares authorized at June 30, 2026 and December 31, 2025, respectively; 3,682,000 and nil shares issued and outstanding as of June 30, 2026 and December 31, 2025,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Treasury stock, at cost, 889,890 shares as of June 30, 2026 and December 31, 2025</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(21,456)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10,540,193 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346,829 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(1,369,864)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(905,330)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Total stockholders’ equity (deficit)</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9,154,642 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(578,655)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Total liabilities, redeemable convertible preferred stock, and stockholders’ equity (deficit)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11,627,872 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2,326,037 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CEREBRAS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1654"/>
        <w:gridCol w:w="1404"/>
        <w:gridCol w:w="1409"/>
        <w:gridCol w:w="211"/>
        <w:gridCol w:w="888"/>
        <w:gridCol w:w="109"/>
        <w:gridCol w:w="109"/>
        <w:gridCol w:w="109"/>
        <w:gridCol w:w="109"/>
        <w:gridCol w:w="211"/>
        <w:gridCol w:w="826"/>
        <w:gridCol w:w="109"/>
        <w:gridCol w:w="109"/>
        <w:gridCol w:w="109"/>
        <w:gridCol w:w="109"/>
        <w:gridCol w:w="211"/>
        <w:gridCol w:w="888"/>
        <w:gridCol w:w="109"/>
        <w:gridCol w:w="109"/>
        <w:gridCol w:w="109"/>
        <w:gridCol w:w="109"/>
        <w:gridCol w:w="211"/>
        <w:gridCol w:w="826"/>
        <w:gridCol w:w="158"/>
      </w:tblGrid>
      <w:tr>
        <w:trPr/>
        <w:tc>
          <w:tcPr>
            <w:tcW w:w="165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Cloud and other services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Cloud and other services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129,131 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159,355 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288,992 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(450,528)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(464,534)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285,645 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shareholders</w:t>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CEREBRAS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1762"/>
        <w:gridCol w:w="1358"/>
        <w:gridCol w:w="1352"/>
        <w:gridCol w:w="211"/>
        <w:gridCol w:w="886"/>
        <w:gridCol w:w="109"/>
        <w:gridCol w:w="109"/>
        <w:gridCol w:w="109"/>
        <w:gridCol w:w="109"/>
        <w:gridCol w:w="211"/>
        <w:gridCol w:w="826"/>
        <w:gridCol w:w="109"/>
        <w:gridCol w:w="109"/>
        <w:gridCol w:w="109"/>
        <w:gridCol w:w="109"/>
        <w:gridCol w:w="211"/>
        <w:gridCol w:w="886"/>
        <w:gridCol w:w="109"/>
        <w:gridCol w:w="109"/>
        <w:gridCol w:w="109"/>
        <w:gridCol w:w="109"/>
        <w:gridCol w:w="211"/>
        <w:gridCol w:w="826"/>
        <w:gridCol w:w="157"/>
      </w:tblGrid>
      <w:tr>
        <w:trPr/>
        <w:tc>
          <w:tcPr>
            <w:tcW w:w="176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adjustments, net of tax</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investments: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 (loss) on debt securities, net of tax</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285,750 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CEREBRAS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180"/>
        <w:jc w:val="center"/>
        <w:rPr/>
      </w:pPr>
      <w:r>
        <w:rPr/>
      </w:r>
    </w:p>
    <w:tbl>
      <w:tblPr>
        <w:tblW w:w="15115" w:type="dxa"/>
        <w:jc w:val="center"/>
        <w:tblInd w:w="0" w:type="dxa"/>
        <w:tblLayout w:type="fixed"/>
        <w:tblCellMar>
          <w:top w:w="28" w:type="dxa"/>
          <w:left w:w="28" w:type="dxa"/>
          <w:bottom w:w="28" w:type="dxa"/>
          <w:right w:w="28" w:type="dxa"/>
        </w:tblCellMar>
      </w:tblPr>
      <w:tblGrid>
        <w:gridCol w:w="587"/>
        <w:gridCol w:w="291"/>
        <w:gridCol w:w="293"/>
        <w:gridCol w:w="109"/>
        <w:gridCol w:w="109"/>
        <w:gridCol w:w="109"/>
        <w:gridCol w:w="375"/>
        <w:gridCol w:w="376"/>
        <w:gridCol w:w="196"/>
        <w:gridCol w:w="109"/>
        <w:gridCol w:w="109"/>
        <w:gridCol w:w="109"/>
        <w:gridCol w:w="196"/>
        <w:gridCol w:w="871"/>
        <w:gridCol w:w="109"/>
        <w:gridCol w:w="109"/>
        <w:gridCol w:w="109"/>
        <w:gridCol w:w="109"/>
        <w:gridCol w:w="109"/>
        <w:gridCol w:w="109"/>
        <w:gridCol w:w="109"/>
        <w:gridCol w:w="368"/>
        <w:gridCol w:w="368"/>
        <w:gridCol w:w="196"/>
        <w:gridCol w:w="109"/>
        <w:gridCol w:w="109"/>
        <w:gridCol w:w="109"/>
        <w:gridCol w:w="248"/>
        <w:gridCol w:w="305"/>
        <w:gridCol w:w="138"/>
        <w:gridCol w:w="109"/>
        <w:gridCol w:w="109"/>
        <w:gridCol w:w="109"/>
        <w:gridCol w:w="196"/>
        <w:gridCol w:w="961"/>
        <w:gridCol w:w="109"/>
        <w:gridCol w:w="109"/>
        <w:gridCol w:w="109"/>
        <w:gridCol w:w="109"/>
        <w:gridCol w:w="196"/>
        <w:gridCol w:w="436"/>
        <w:gridCol w:w="109"/>
        <w:gridCol w:w="109"/>
        <w:gridCol w:w="109"/>
        <w:gridCol w:w="109"/>
        <w:gridCol w:w="196"/>
        <w:gridCol w:w="661"/>
        <w:gridCol w:w="109"/>
        <w:gridCol w:w="109"/>
        <w:gridCol w:w="109"/>
        <w:gridCol w:w="109"/>
        <w:gridCol w:w="276"/>
        <w:gridCol w:w="785"/>
        <w:gridCol w:w="155"/>
        <w:gridCol w:w="109"/>
        <w:gridCol w:w="109"/>
        <w:gridCol w:w="109"/>
        <w:gridCol w:w="196"/>
        <w:gridCol w:w="886"/>
        <w:gridCol w:w="109"/>
        <w:gridCol w:w="109"/>
        <w:gridCol w:w="109"/>
        <w:gridCol w:w="109"/>
        <w:gridCol w:w="196"/>
        <w:gridCol w:w="871"/>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1,933,348 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(578,655)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shares of Series H redeemable convertible preferred stock,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warrants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shares of Class 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A common shares issued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from tender offer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Vesting of early exercised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Conversion of stock-based liability classified awards to stock-based equity classified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124,653 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2,947,379 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61,018 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(919,336)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initial public offering, net of underwriting discounts and commissions and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6,217,099 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6,217,099 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redeemable convertible preferred stock in connection with initial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(2,947,379)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2,947,378 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2,947,379 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warrants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shares of Class 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A common shares issued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Tax withholdings on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(416,037)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early exercised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376,834 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228,204 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10,540,193 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(1,369,864)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9,154,642 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0"/>
        <w:jc w:val="center"/>
        <w:rPr/>
      </w:pPr>
      <w:r>
        <w:rPr/>
      </w:r>
    </w:p>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CEREBRAS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180"/>
        <w:jc w:val="center"/>
        <w:rPr/>
      </w:pPr>
      <w:r>
        <w:rPr/>
      </w:r>
    </w:p>
    <w:tbl>
      <w:tblPr>
        <w:tblW w:w="13962" w:type="dxa"/>
        <w:jc w:val="center"/>
        <w:tblInd w:w="0" w:type="dxa"/>
        <w:tblLayout w:type="fixed"/>
        <w:tblCellMar>
          <w:top w:w="28" w:type="dxa"/>
          <w:left w:w="28" w:type="dxa"/>
          <w:bottom w:w="28" w:type="dxa"/>
          <w:right w:w="28" w:type="dxa"/>
        </w:tblCellMar>
      </w:tblPr>
      <w:tblGrid>
        <w:gridCol w:w="497"/>
        <w:gridCol w:w="291"/>
        <w:gridCol w:w="293"/>
        <w:gridCol w:w="109"/>
        <w:gridCol w:w="109"/>
        <w:gridCol w:w="109"/>
        <w:gridCol w:w="323"/>
        <w:gridCol w:w="323"/>
        <w:gridCol w:w="192"/>
        <w:gridCol w:w="109"/>
        <w:gridCol w:w="109"/>
        <w:gridCol w:w="109"/>
        <w:gridCol w:w="196"/>
        <w:gridCol w:w="736"/>
        <w:gridCol w:w="109"/>
        <w:gridCol w:w="109"/>
        <w:gridCol w:w="109"/>
        <w:gridCol w:w="109"/>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218"/>
        <w:gridCol w:w="218"/>
        <w:gridCol w:w="196"/>
        <w:gridCol w:w="109"/>
        <w:gridCol w:w="109"/>
        <w:gridCol w:w="109"/>
        <w:gridCol w:w="196"/>
        <w:gridCol w:w="386"/>
        <w:gridCol w:w="109"/>
        <w:gridCol w:w="109"/>
        <w:gridCol w:w="109"/>
        <w:gridCol w:w="109"/>
        <w:gridCol w:w="328"/>
        <w:gridCol w:w="705"/>
        <w:gridCol w:w="183"/>
        <w:gridCol w:w="109"/>
        <w:gridCol w:w="109"/>
        <w:gridCol w:w="109"/>
        <w:gridCol w:w="196"/>
        <w:gridCol w:w="886"/>
        <w:gridCol w:w="109"/>
        <w:gridCol w:w="109"/>
        <w:gridCol w:w="109"/>
        <w:gridCol w:w="109"/>
        <w:gridCol w:w="196"/>
        <w:gridCol w:w="751"/>
        <w:gridCol w:w="154"/>
      </w:tblGrid>
      <w:tr>
        <w:trPr/>
        <w:tc>
          <w:tcPr>
            <w:tcW w:w="4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82,899 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53,373 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(966,791)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A common shares issued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Vesting of early exercised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Conversion of stock-based liability classified awards to stock-based equity classified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82,899 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53,747 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(1,167,024)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(978,209)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upon exercise of stock options, net of repurchases of early exercised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early exercised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stock-based liability classified awards to stock-based equity classified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82,899 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54,598 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(857,512)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(651,118)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CEREBRAS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694"/>
        <w:gridCol w:w="2278"/>
        <w:gridCol w:w="2287"/>
        <w:gridCol w:w="211"/>
        <w:gridCol w:w="1041"/>
        <w:gridCol w:w="109"/>
        <w:gridCol w:w="109"/>
        <w:gridCol w:w="109"/>
        <w:gridCol w:w="109"/>
        <w:gridCol w:w="211"/>
        <w:gridCol w:w="891"/>
        <w:gridCol w:w="156"/>
      </w:tblGrid>
      <w:tr>
        <w:trPr/>
        <w:tc>
          <w:tcPr>
            <w:tcW w:w="2694"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before="53" w:after="30"/>
              <w:ind w:left="0" w:right="0" w:hanging="180"/>
              <w:jc w:val="left"/>
              <w:rPr/>
            </w:pPr>
            <w:r>
              <w:rPr/>
            </w:r>
          </w:p>
        </w:tc>
        <w:tc>
          <w:tcPr>
            <w:tcW w:w="2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259" w:type="dxa"/>
            <w:gridSpan w:val="3"/>
            <w:tcBorders/>
            <w:tcMar>
              <w:top w:w="0" w:type="dxa"/>
              <w:left w:w="0" w:type="dxa"/>
              <w:bottom w:w="0" w:type="dxa"/>
              <w:right w:w="0" w:type="dxa"/>
            </w:tcMar>
            <w:vAlign w:val="center"/>
          </w:tcPr>
          <w:p>
            <w:pPr>
              <w:pStyle w:val="TableContents"/>
              <w:bidi w:val="0"/>
              <w:spacing w:before="33" w:after="30"/>
              <w:ind w:left="0" w:right="0" w:hanging="180"/>
              <w:jc w:val="left"/>
              <w:rPr/>
            </w:pPr>
            <w:r>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flows used in operating activities:</w:t>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customer warrants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product warranties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Extinguishment of forward contract liability</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flows used in operating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Maturities and sales of investments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(87,296)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initial public offering, net of underwriting discounts and commissions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shares of Series H redeemable convertible preferred stock</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in connection with the sale of shares of Series H redeemable convertible preferred stock</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Working Capital Loan</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issuance of shares of Class N common stock</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paid for revolving credit facility</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Repurchases of early exercised stock options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withholding from tender offer and initial public offering</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Payments of deferred offering costs and other financing activities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flows provided by financing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exchange rate on cash</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(205,079)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376,886 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2714"/>
        <w:gridCol w:w="2384"/>
        <w:gridCol w:w="2396"/>
        <w:gridCol w:w="211"/>
        <w:gridCol w:w="976"/>
        <w:gridCol w:w="109"/>
        <w:gridCol w:w="109"/>
        <w:gridCol w:w="109"/>
        <w:gridCol w:w="109"/>
        <w:gridCol w:w="211"/>
        <w:gridCol w:w="721"/>
        <w:gridCol w:w="156"/>
      </w:tblGrid>
      <w:tr>
        <w:trPr/>
        <w:tc>
          <w:tcPr>
            <w:tcW w:w="2714"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redeemable convertible preferred stock in connection with initial public offering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Billed amounts offsetting Working Capital Loan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included in accounts payable and accrued and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Transfer of property and equipment into inventories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Unpaid deferred offering costs included in accrued and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Vesting of early exercised options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Transfer to property and equipment out of inventories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1 - Nature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Cerebras Systems Inc. (the “Company” or “Cerebras”) was incorporated in Delaware in April 2016. Cerebras is an artificial intelligence (“AI”) infrastructure company that designs and manufactures an AI compute platform comprised of proprietary systems and software that is delivered in standard racks for deployment in our, and our customers’ data centers up to supercomputer scale. The Company’s pioneering Wafer-Scale Engine (“WSE”), a chip encompassing an entire silicon wafer, was specifically designed to enable higher performance and speeds than GPUs for the computational demands of inference, Generative AI (“GenAI”), and other AI applications. Since its inception, Cerebras has dedicated resources to research and development activities that support its current projects and future development efforts. The Company is headquartered in Sunnyvale, California.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Note 2 - Basis of Presentation and Summary of Significant Accounting Policies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U.S. generally accepted accounting principles (“GAAP”) and the applicable rules and regulations of the Securities and Exchange Commission (the “SEC”) for interim financial information, but do not include all the information and notes required by GAAP for complete financial statements. These interim unaudited condensed consolidated financial statements should be read in conjunction with the audited consolidated financial statements and notes thereto for the year ended December 31, 2025 contained in the Company’s final prospectus filed with the SEC on May 14, 2026 (the “Prospectus”), pursuant to Rule 424(b)(4) under the Securities Act of 1933, as amended (the “Securities Act”). The condensed consolidated balance sheet at December 31, 2025 has been derived from the audited consolidated financial statements at that date, but does not include all disclosures, including notes, required by GAAP for complete financial statements.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significant accounting policies used in the preparation of the unaudited condensed consolidated financial statements are consistent with those discussed in Note 4 – Significant Accounting Policies to the audited consolidated financial statements in the Prospectus. There have been no significant changes in the Company’s significant accounting policies or critical accounting estimates since December 31, 2025 that have had a material impact on the Company’s unaudited condensed consolidated financial statements and related notes. In the opinion of management, these financial statements include all adjustments, which are of a normal recurring nature, necessary for a fair statement of the financial position, results of operations, cash flows, and the changes in equity for the periods presented. The results of operations for the three and six months ended June 30, 2026 shown in this report are not necessarily indicative of the results to be expected for the full year ending December 31, 2026 or any other period.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reported in the Company’s condensed consolidated financial statements and notes thereto have been reclassified to conform to the current period presentation.</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Initial Public Offering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May 15, 2026, the Company completed its initial public offering (the “IPO”), in which it issued and sold 34,500,000 shares of its Class A common stock at $185.00 per share, which includes the exercise in full by the underwriters of their option to purchase from the Company an additional 4,500,000 shares of Class A common stock. The Company received net proceeds of approximately $6.2 billion from the IPO, after deducting underwriting discounts and commissions and estimated offering expenses. Immediately prior to the completion of the IPO, all outstanding shares of the Company’s redeemable convertible preferred stock converted into 124,652,775 shares of Class B common stock on a one-for-one basis. In addition, certain shares of the Company's then-outstanding Class A common stock, including shares issued upon the vesting and settlement of certain restricted stock units (“RSUs”) that vested upon completion of the IPO, were reclassified into Class B common stock on a one-for-one basis, and certain shares and equity awards were converted into, or amended to provide for issuance or settlement in, shares of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Company’s 2016 Equity Incentive Plan (as amended, the “2016 Plan”), the Company’s RSUs issued under the 2016 Plan vest upon the satisfaction of both service-based and liquidity-based vesting conditions. The service-based vesting condition for these awards is generally satisfied by rendering continuous service through the applicable vesting period, which is generally four years. The liquidity-based vesting condition was satisfied in connection with the IPO on May 13, 2026. During the three and six months ended June 30, 2026, the Company recognized $273.6 million of stock-based compensation expense related to these RSUs following the satisfaction of the liquidity-based vesting condition in connection with the IPO.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unaudited condensed consolidated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Areas of significant estimates include, but are not limited to, revenue recognition, including the determination of the standalone selling price (“SSP”) of performance obligations, significant financing components, useful life of property, plant and equipment, product warranty accruals, impairment of long-lived assets, the market value of and demand for inventory, valuation allowance on deferred income tax assets, the fair value of common stock and other assumptions used to measure stock-based compensation. The Company bases its estimates on historical experience, known trends, and other market-specific or other relevant factors that it believes to be reasonable under the circumstances. Actual results could significantly differ from those estimates. On an ongoing basis, management evaluates its estimates when there are changes in circumstances, facts, and experience. Changes in estimates are recorded prospectively in the period in which they become known.</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Supplier Concentration</w:t>
      </w:r>
    </w:p>
    <w:p>
      <w:pPr>
        <w:pStyle w:val="TextBody"/>
        <w:bidi w:val="0"/>
        <w:spacing w:lineRule="auto" w:line="288" w:before="0" w:after="180"/>
        <w:jc w:val="both"/>
        <w:rPr/>
      </w:pPr>
      <w:r>
        <w:rPr>
          <w:rFonts w:ascii="Times New Roman;serif" w:hAnsi="Times New Roman;serif"/>
          <w:b w:val="false"/>
          <w:color w:val="000000"/>
          <w:sz w:val="20"/>
          <w:shd w:fill="FFFFFF" w:val="clear"/>
        </w:rPr>
        <w:t>Certain materials used by the Company in the manufacturing of its products are available from a limited number of suppliers. Shortages could occur in these materials due to an interruption of supply or increased demand in the industry.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suppliers accounted for </w:t>
      </w:r>
      <w:r>
        <w:rPr>
          <w:rFonts w:ascii="Times New Roman;serif" w:hAnsi="Times New Roman;serif"/>
          <w:b w:val="false"/>
          <w:color w:val="000000"/>
          <w:sz w:val="20"/>
        </w:rPr>
        <w:t>13%, 12%, and 10%</w:t>
      </w:r>
      <w:r>
        <w:rPr>
          <w:color w:val="000000"/>
          <w:shd w:fill="FFFFFF" w:val="clear"/>
        </w:rPr>
        <w:t xml:space="preserve"> </w:t>
      </w:r>
      <w:r>
        <w:rPr>
          <w:rFonts w:ascii="Times New Roman;serif" w:hAnsi="Times New Roman;serif"/>
          <w:b w:val="false"/>
          <w:color w:val="000000"/>
          <w:sz w:val="20"/>
          <w:shd w:fill="FFFFFF" w:val="clear"/>
        </w:rPr>
        <w:t xml:space="preserve">of total purchases for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Two</w:t>
      </w:r>
      <w:r>
        <w:rPr>
          <w:color w:val="000000"/>
          <w:shd w:fill="FFFFFF" w:val="clear"/>
        </w:rPr>
        <w:t xml:space="preserve"> </w:t>
      </w:r>
      <w:r>
        <w:rPr>
          <w:rFonts w:ascii="Times New Roman;serif" w:hAnsi="Times New Roman;serif"/>
          <w:b w:val="false"/>
          <w:color w:val="000000"/>
          <w:sz w:val="20"/>
          <w:shd w:fill="FFFFFF" w:val="clear"/>
        </w:rPr>
        <w:t>suppliers accounte</w:t>
      </w:r>
      <w:r>
        <w:rPr>
          <w:rFonts w:ascii="Times New Roman;serif" w:hAnsi="Times New Roman;serif"/>
          <w:b w:val="false"/>
          <w:color w:val="000000"/>
          <w:sz w:val="20"/>
        </w:rPr>
        <w:t>d for 16% and 10% of total purchases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Note 3 - Revenue</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classified in hardware at a point in time, and revenue classified in cloud and other services either at a point in time or over time. Revenue by point in time and over time was as follows (in thousands):</w:t>
      </w:r>
    </w:p>
    <w:tbl>
      <w:tblPr>
        <w:tblW w:w="10205" w:type="dxa"/>
        <w:jc w:val="left"/>
        <w:tblInd w:w="0" w:type="dxa"/>
        <w:tblLayout w:type="fixed"/>
        <w:tblCellMar>
          <w:top w:w="28" w:type="dxa"/>
          <w:left w:w="28" w:type="dxa"/>
          <w:bottom w:w="28" w:type="dxa"/>
          <w:right w:w="28" w:type="dxa"/>
        </w:tblCellMar>
      </w:tblPr>
      <w:tblGrid>
        <w:gridCol w:w="1659"/>
        <w:gridCol w:w="1463"/>
        <w:gridCol w:w="1468"/>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65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Hardware revenue recognized at a 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Cloud and other services revenue recognized at a point in time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Cloud and other services revenue recognized over time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Revenue recognized during the six months ended June 30, 2026 and 2025 that was included in deferred revenue as of December 31, 2025 and December 31, 2024 was $69.8 million and $27.3 million, respectively. </w:t>
      </w:r>
    </w:p>
    <w:p>
      <w:pPr>
        <w:pStyle w:val="TextBody"/>
        <w:bidi w:val="0"/>
        <w:spacing w:lineRule="auto" w:line="288" w:before="0" w:after="180"/>
        <w:jc w:val="both"/>
        <w:rPr/>
      </w:pPr>
      <w:r>
        <w:rPr>
          <w:rFonts w:ascii="Times New Roman;serif" w:hAnsi="Times New Roman;serif"/>
          <w:b w:val="false"/>
          <w:color w:val="000000"/>
          <w:sz w:val="20"/>
        </w:rPr>
        <w:t>During the three and six months ended June 30, 2026, the Company recognized $44.3 million and $46.3 million, respectively, as a reduction in revenue related to the amortization of the customer warrant assets in the condensed consolidated statements of operations, in proportion to the amount of related revenues recognized. Refer to Note 12 - Common Stock for further discussion. The remaining balance of the customer warrant assets as of June 30, 2026 will be recorded as a reduction in revenue in the consolidated statement of operations throug</w:t>
      </w:r>
      <w:r>
        <w:rPr>
          <w:rFonts w:ascii="Times New Roman;serif" w:hAnsi="Times New Roman;serif"/>
          <w:b w:val="false"/>
          <w:color w:val="000000"/>
          <w:sz w:val="20"/>
          <w:shd w:fill="FFFFFF" w:val="clear"/>
        </w:rPr>
        <w:t xml:space="preserve">h October 2031.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Significant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Customers that each accounted for 10% or more of our total revenues were as follows:</w:t>
      </w:r>
    </w:p>
    <w:tbl>
      <w:tblPr>
        <w:tblW w:w="6623" w:type="dxa"/>
        <w:jc w:val="left"/>
        <w:tblInd w:w="0" w:type="dxa"/>
        <w:tblLayout w:type="fixed"/>
        <w:tblCellMar>
          <w:top w:w="28" w:type="dxa"/>
          <w:left w:w="28" w:type="dxa"/>
          <w:bottom w:w="28" w:type="dxa"/>
          <w:right w:w="28" w:type="dxa"/>
        </w:tblCellMar>
      </w:tblPr>
      <w:tblGrid>
        <w:gridCol w:w="450"/>
        <w:gridCol w:w="396"/>
        <w:gridCol w:w="398"/>
        <w:gridCol w:w="219"/>
        <w:gridCol w:w="219"/>
        <w:gridCol w:w="545"/>
        <w:gridCol w:w="219"/>
        <w:gridCol w:w="219"/>
        <w:gridCol w:w="219"/>
        <w:gridCol w:w="219"/>
        <w:gridCol w:w="219"/>
        <w:gridCol w:w="545"/>
        <w:gridCol w:w="109"/>
        <w:gridCol w:w="109"/>
        <w:gridCol w:w="109"/>
        <w:gridCol w:w="196"/>
        <w:gridCol w:w="196"/>
        <w:gridCol w:w="488"/>
        <w:gridCol w:w="196"/>
        <w:gridCol w:w="196"/>
        <w:gridCol w:w="196"/>
        <w:gridCol w:w="196"/>
        <w:gridCol w:w="196"/>
        <w:gridCol w:w="569"/>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 A</w:t>
            </w:r>
            <w:r>
              <w:rPr>
                <w:rFonts w:ascii="Times New Roman;serif" w:hAnsi="Times New Roman;serif"/>
                <w:b w:val="false"/>
                <w:color w:val="000000"/>
                <w:sz w:val="13"/>
              </w:rPr>
              <w:t>(1)</w:t>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Customer D</w:t>
            </w:r>
            <w:r>
              <w:rPr>
                <w:rFonts w:ascii="Times New Roman;serif" w:hAnsi="Times New Roman;serif"/>
                <w:b w:val="false"/>
                <w:color w:val="000000"/>
                <w:sz w:val="13"/>
              </w:rPr>
              <w:t>(1)</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Customer A and Customer D are considered related parties with respect to each other as defined by ASC 850, Related Party Disclosures.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*Percentage was less than 10%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Customers that each accounted for 10% or more of accounts receivable balances as of the periods presented are as follows:</w:t>
      </w:r>
    </w:p>
    <w:tbl>
      <w:tblPr>
        <w:tblW w:w="4615" w:type="dxa"/>
        <w:jc w:val="left"/>
        <w:tblInd w:w="0" w:type="dxa"/>
        <w:tblLayout w:type="fixed"/>
        <w:tblCellMar>
          <w:top w:w="28" w:type="dxa"/>
          <w:left w:w="28" w:type="dxa"/>
          <w:bottom w:w="28" w:type="dxa"/>
          <w:right w:w="28" w:type="dxa"/>
        </w:tblCellMar>
      </w:tblPr>
      <w:tblGrid>
        <w:gridCol w:w="450"/>
        <w:gridCol w:w="396"/>
        <w:gridCol w:w="398"/>
        <w:gridCol w:w="282"/>
        <w:gridCol w:w="282"/>
        <w:gridCol w:w="711"/>
        <w:gridCol w:w="109"/>
        <w:gridCol w:w="109"/>
        <w:gridCol w:w="109"/>
        <w:gridCol w:w="360"/>
        <w:gridCol w:w="360"/>
        <w:gridCol w:w="1049"/>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 A</w:t>
            </w:r>
            <w:r>
              <w:rPr>
                <w:rFonts w:ascii="Times New Roman;serif" w:hAnsi="Times New Roman;serif"/>
                <w:b w:val="false"/>
                <w:color w:val="000000"/>
                <w:sz w:val="13"/>
              </w:rPr>
              <w:t>(1)</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Customer D</w:t>
            </w:r>
            <w:r>
              <w:rPr>
                <w:rFonts w:ascii="Times New Roman;serif" w:hAnsi="Times New Roman;serif"/>
                <w:b w:val="false"/>
                <w:color w:val="000000"/>
                <w:sz w:val="13"/>
              </w:rPr>
              <w:t>(1)</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Customer A and Customer D are considered related parties with respect to each other as defined by ASC 850, Related Party Disclosures.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*Percentage was less than 10%</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OpenAI Collaboration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2025, the Company entered into a Master Relationship Agreement (the “MRA”) with OpenAI OpCo, LLC (“OpenAI”) to provide 750MW of AI inference compute capacity that OpenAI is contractually committed to purchase (the “Committed Capacity”) and related services over a multi-year term. The MRA includes (i) a services arrangement pursuant to which the Company will provide the Committed Capacity and related services over a term of three or four years that is extendable by OpenAI to a maximum of five years in total, (ii) a secured promissory note of approximately $1.0 billion (the “Working Capital Loan”) funded by OpenAI in January 2026 to support the build-out of infrastructure and related capabilities required to deliver such services, and (iii) a warrant to purchase shares of the Company’s Class N common stock. Refer to Note 10 - Debt and Note 12 - Common Stock for further discussion. For the three and six months ended June 30, 2026, the Company recognized revenue of $56.8 million and $74.4 million, respectively, under the arrangement, which is net of amortization of the customer warrant asset of $2.5 million and $3.3 million, respectively. In addition to the Committed Capacity, OpenAI has the option to purchase an additional 1.25GW of AI inference compute capacity (the “Additional Capacity”) for deployment in tranches by the end of 2030 for up to a total of 2.0GW.</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Remaining Performance Obligation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Revenue allocated to remaining performance obligations that are unsatisfied (or partially unsatisfied), which includes deferred revenue and amounts that are expected to be invoiced and recognized as revenue in future periods, was $25.4 billion as of June 30, 2026. A significant amount of the balance was attributable to the Company’s obligations pursuant to the MRA with OpenAI.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expects to recognize approximately 22% of this revenue over the initial 24 months ending June 30, 2028, 43% between months 25 and 48, and to recognize the remaining balance thereafter. However, time periods for revenue recognition may vary from the foregoing due to changes in timing of delivery at the customer’s request or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arrangement with OpenAI includes variable consideration related to pass-through costs that are included in the transaction price. These pass-through costs primarily relate to data centers consisting of fixed monthly data center rental costs, leasehold improvements, security and other variable monthly lease costs such as power and other utilities in connection with the delivery of the Committed Capacity. Amounts related to these pass-through costs are included in the transaction price and remaining performance obligations for Committed Capacity associated with data center arrangements for which the related right-of-use assets and lease liabilities were recognized as of June 30, 2026. Pass-through costs associated with the remaining Committed Capacity are excluded from remaining performance obligations because the related consideration is subject to factors outside the Company’s control which involve significant amounts that will be determined over the remaining years of the MRA. Revenue related to pass-through costs will be recognized as the underlying Committed Capacity is delivered and is reported on a gross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Note 4 - Segment and Geographical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operates as one reportable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Net income (loss) is the Company’s primary measure of profit or loss, and all costs and expense categories on the Company’s consolidated statements of operations, as well as stock-based compensation, depreciation and amortization expenses, are significant. The Company’s CODM reviews net income or loss on a quarterly basis to assess overall operating performance, evaluate profitability and determine resource allocation, including capital spending and operating expense priorities. Refer to Note 8 - Balance Sheets Details and Note 13 - Stock-Based Compensation for further discussion. The measure of segment assets is reported on the consolidated balance sheet as total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 by geographic area is designated based upon the billing location of the customer. Revenue by geographic area was as follows (in thousands):</w:t>
      </w:r>
    </w:p>
    <w:tbl>
      <w:tblPr>
        <w:tblW w:w="8328" w:type="dxa"/>
        <w:jc w:val="left"/>
        <w:tblInd w:w="0" w:type="dxa"/>
        <w:tblLayout w:type="fixed"/>
        <w:tblCellMar>
          <w:top w:w="28" w:type="dxa"/>
          <w:left w:w="28" w:type="dxa"/>
          <w:bottom w:w="28" w:type="dxa"/>
          <w:right w:w="28" w:type="dxa"/>
        </w:tblCellMar>
      </w:tblPr>
      <w:tblGrid>
        <w:gridCol w:w="980"/>
        <w:gridCol w:w="865"/>
        <w:gridCol w:w="869"/>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98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by geographic areas was as follows (in thousands):</w:t>
      </w:r>
    </w:p>
    <w:tbl>
      <w:tblPr>
        <w:tblW w:w="6264" w:type="dxa"/>
        <w:jc w:val="left"/>
        <w:tblInd w:w="0" w:type="dxa"/>
        <w:tblLayout w:type="fixed"/>
        <w:tblCellMar>
          <w:top w:w="28" w:type="dxa"/>
          <w:left w:w="28" w:type="dxa"/>
          <w:bottom w:w="28" w:type="dxa"/>
          <w:right w:w="28" w:type="dxa"/>
        </w:tblCellMar>
      </w:tblPr>
      <w:tblGrid>
        <w:gridCol w:w="1045"/>
        <w:gridCol w:w="922"/>
        <w:gridCol w:w="927"/>
        <w:gridCol w:w="234"/>
        <w:gridCol w:w="919"/>
        <w:gridCol w:w="121"/>
        <w:gridCol w:w="109"/>
        <w:gridCol w:w="109"/>
        <w:gridCol w:w="109"/>
        <w:gridCol w:w="313"/>
        <w:gridCol w:w="1228"/>
        <w:gridCol w:w="228"/>
      </w:tblGrid>
      <w:tr>
        <w:trPr/>
        <w:tc>
          <w:tcPr>
            <w:tcW w:w="104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376,021 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61,281 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986,808 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437,396 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Note 5 - Net Income (Loss)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follows the two-class method when computing net income (loss) per share of common stock for multiple classes of common stock and participating securities. The two-class method determines net income (loss) per share of common stock for each class of common stock and participating securities according to dividends declared or accumulated participation rights in undistributed earnings. During the periods presented, the Company’s participating securities included all series of its redeemable convertible preferred stock prior to their conversion into Class B common stock immediately prior to the completion of the IPO and common stock warrants, as the holders of these securities are contractually entitled to participate in dividends and other distributions but not contractually required to participate in losses. As such, net loss for the periods presented was not allocated to the Company’s participating securities for the portions of the periods during which such securities were outstanding as participating securities. Prior to the IPO, the Company had legacy Class A common stock and Class N common stock outstanding. Following the IPO, the Company has Class A common stock, Class B common stock, and Class N common stock outstanding. The rights, including the liquidation and dividend rights, of the holders of the Company’s Class A common stock, Class B common stock, and Class N common stock are identical, except with respect to voting and conversion rights. As a result, the basic and diluted net income (loss) per share for each class of common stock are the same and therefore presented on a combined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income (loss) per share is computed by dividing net income (loss) attributable to common stockholders by the weighted-average number of shares of the Company’s common stock outstanding, adjusted for outstanding shares that are subject to repurchase. The shares of Class B common stock issued upon conversion of the Company’s redeemable convertible preferred stock and the Class A shares issued at the time of the IPO are included in the weighted average number of common shares outstanding from the date of IPO. Shares issuable upon exercise of certain vested warrants for Class N common stock are considered in-substance outstanding for basic net income (loss) per share because the exercise price is nominal and the issuance of shares is considered probable; accordingly, such shares are included in the weighted-average shares outstanding for purposes of basic net income (loss) per share. Diluted net income (loss) per share attributable to common stockholders gives effect to all potential shares of common stock, including common stock issuable upon conversion of the Company’s redeemable convertible preferred stock, for the portions of the periods prior to their actual conversion upon IPO, stock options, common stock warrants and RSUs for periods ending after May 13, 2026, when the liquidity condition for RSUs was met, to the extent these are dilutive.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Diluted net income per share attributable to common stockholders is computed by dividing net income attributable to common stockholders by the weighted-average number of shares of common stock outstanding during the period, adjusted to give effect to potentially dilutive securities. The Company’s potentially dilutive securities include shares of redeemable convertible preferred stock for the portion of the periods prior to their conversion, common stock warrants, and stock-based awards. Shares of redeemable convertible preferred stock were assumed to be converted into common stock using the if-converted method from the beginning of the period, or from the date of issuance if later, through the date of actual conversion. Under the if-converted method, any dividends on redeemable convertible preferred stock, whether declared or accumulated, were added back to net income attributable to common stockholders in the calculation of diluted net income per share. Stock options and RSUs for periods ending after May 13, 2026, were included in the calculation of diluted net income per share using the treasury stock method. For periods in which the Company reports a net loss, all potentially dilutive securities are excluded from the computation of diluted net loss per share as their inclusion would be anti-dilutive.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2025, no potential common shares were excluded from diluted net income per share as their effect would have been anti-dilutive. As of June 30, 2026, the following potential common shares were excluded from the computation of diluted net loss per share because their inclusion would have been anti-dilutive (in thousands):</w:t>
      </w:r>
    </w:p>
    <w:tbl>
      <w:tblPr>
        <w:tblW w:w="8219" w:type="dxa"/>
        <w:jc w:val="left"/>
        <w:tblInd w:w="0" w:type="dxa"/>
        <w:tblLayout w:type="fixed"/>
        <w:tblCellMar>
          <w:top w:w="28" w:type="dxa"/>
          <w:left w:w="28" w:type="dxa"/>
          <w:bottom w:w="28" w:type="dxa"/>
          <w:right w:w="28" w:type="dxa"/>
        </w:tblCellMar>
      </w:tblPr>
      <w:tblGrid>
        <w:gridCol w:w="2497"/>
        <w:gridCol w:w="2199"/>
        <w:gridCol w:w="2204"/>
        <w:gridCol w:w="384"/>
        <w:gridCol w:w="384"/>
        <w:gridCol w:w="551"/>
      </w:tblGrid>
      <w:tr>
        <w:trPr/>
        <w:tc>
          <w:tcPr>
            <w:tcW w:w="2497"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Contingently issuable warrants</w:t>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26,108 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Early exercised shares subject to repurchase</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23,797 </w:t>
            </w:r>
          </w:p>
        </w:tc>
        <w:tc>
          <w:tcPr>
            <w:tcW w:w="55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16,532 </w:t>
            </w:r>
          </w:p>
        </w:tc>
        <w:tc>
          <w:tcPr>
            <w:tcW w:w="55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Contingently issuable unvested performance-based restricted stock units (“PRSUs”)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Total potential common stock excluded from net loss per share </w:t>
            </w:r>
          </w:p>
        </w:tc>
        <w:tc>
          <w:tcPr>
            <w:tcW w:w="7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76,011 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numerator and denominator of the basic and diluted net income per share computations for the periods presented:</w:t>
      </w:r>
    </w:p>
    <w:tbl>
      <w:tblPr>
        <w:tblW w:w="10205" w:type="dxa"/>
        <w:jc w:val="left"/>
        <w:tblInd w:w="0" w:type="dxa"/>
        <w:tblLayout w:type="fixed"/>
        <w:tblCellMar>
          <w:top w:w="28" w:type="dxa"/>
          <w:left w:w="28" w:type="dxa"/>
          <w:bottom w:w="28" w:type="dxa"/>
          <w:right w:w="28" w:type="dxa"/>
        </w:tblCellMar>
      </w:tblPr>
      <w:tblGrid>
        <w:gridCol w:w="1793"/>
        <w:gridCol w:w="1353"/>
        <w:gridCol w:w="1359"/>
        <w:gridCol w:w="211"/>
        <w:gridCol w:w="870"/>
        <w:gridCol w:w="109"/>
        <w:gridCol w:w="109"/>
        <w:gridCol w:w="109"/>
        <w:gridCol w:w="109"/>
        <w:gridCol w:w="211"/>
        <w:gridCol w:w="826"/>
        <w:gridCol w:w="109"/>
        <w:gridCol w:w="109"/>
        <w:gridCol w:w="109"/>
        <w:gridCol w:w="109"/>
        <w:gridCol w:w="211"/>
        <w:gridCol w:w="870"/>
        <w:gridCol w:w="109"/>
        <w:gridCol w:w="109"/>
        <w:gridCol w:w="109"/>
        <w:gridCol w:w="109"/>
        <w:gridCol w:w="211"/>
        <w:gridCol w:w="826"/>
        <w:gridCol w:w="156"/>
      </w:tblGrid>
      <w:tr>
        <w:trPr/>
        <w:tc>
          <w:tcPr>
            <w:tcW w:w="179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0"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(in thousands, except per share data)</w:t>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285,645 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participating securities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net of shares subject to repurchase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impact of outstanding redeemable convertible preferred stock (as-if converted basis)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impact of outstanding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weighted-average common shares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Note 6 -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classifies its U.S. Treasury securities, which are accounted for as available-for-sale, and time deposits within Level 2 in the fair value hierarchy because it uses quoted market prices to the extent available or alternative pricing sources and models utilizing market observable inputs to determine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investments (in thousands):</w:t>
      </w:r>
    </w:p>
    <w:tbl>
      <w:tblPr>
        <w:tblW w:w="10205" w:type="dxa"/>
        <w:jc w:val="left"/>
        <w:tblInd w:w="0" w:type="dxa"/>
        <w:tblLayout w:type="fixed"/>
        <w:tblCellMar>
          <w:top w:w="28" w:type="dxa"/>
          <w:left w:w="28" w:type="dxa"/>
          <w:bottom w:w="28" w:type="dxa"/>
          <w:right w:w="28" w:type="dxa"/>
        </w:tblCellMar>
      </w:tblPr>
      <w:tblGrid>
        <w:gridCol w:w="408"/>
        <w:gridCol w:w="359"/>
        <w:gridCol w:w="360"/>
        <w:gridCol w:w="422"/>
        <w:gridCol w:w="422"/>
        <w:gridCol w:w="423"/>
        <w:gridCol w:w="109"/>
        <w:gridCol w:w="109"/>
        <w:gridCol w:w="109"/>
        <w:gridCol w:w="215"/>
        <w:gridCol w:w="996"/>
        <w:gridCol w:w="111"/>
        <w:gridCol w:w="109"/>
        <w:gridCol w:w="109"/>
        <w:gridCol w:w="109"/>
        <w:gridCol w:w="285"/>
        <w:gridCol w:w="833"/>
        <w:gridCol w:w="149"/>
        <w:gridCol w:w="109"/>
        <w:gridCol w:w="109"/>
        <w:gridCol w:w="109"/>
        <w:gridCol w:w="372"/>
        <w:gridCol w:w="716"/>
        <w:gridCol w:w="192"/>
        <w:gridCol w:w="109"/>
        <w:gridCol w:w="109"/>
        <w:gridCol w:w="109"/>
        <w:gridCol w:w="277"/>
        <w:gridCol w:w="535"/>
        <w:gridCol w:w="145"/>
        <w:gridCol w:w="109"/>
        <w:gridCol w:w="109"/>
        <w:gridCol w:w="109"/>
        <w:gridCol w:w="211"/>
        <w:gridCol w:w="976"/>
        <w:gridCol w:w="163"/>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Fair Value Hierarchy</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Accrued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1,179,354 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1,173,766 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1,179,390 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(1)Refer to Note 7 - Fair Value Measurements for a description of fair value hierarchy inputs.</w:t>
      </w:r>
    </w:p>
    <w:tbl>
      <w:tblPr>
        <w:tblW w:w="10205" w:type="dxa"/>
        <w:jc w:val="left"/>
        <w:tblInd w:w="0" w:type="dxa"/>
        <w:tblLayout w:type="fixed"/>
        <w:tblCellMar>
          <w:top w:w="28" w:type="dxa"/>
          <w:left w:w="28" w:type="dxa"/>
          <w:bottom w:w="28" w:type="dxa"/>
          <w:right w:w="28" w:type="dxa"/>
        </w:tblCellMar>
      </w:tblPr>
      <w:tblGrid>
        <w:gridCol w:w="428"/>
        <w:gridCol w:w="376"/>
        <w:gridCol w:w="377"/>
        <w:gridCol w:w="439"/>
        <w:gridCol w:w="439"/>
        <w:gridCol w:w="440"/>
        <w:gridCol w:w="109"/>
        <w:gridCol w:w="109"/>
        <w:gridCol w:w="109"/>
        <w:gridCol w:w="224"/>
        <w:gridCol w:w="878"/>
        <w:gridCol w:w="115"/>
        <w:gridCol w:w="109"/>
        <w:gridCol w:w="109"/>
        <w:gridCol w:w="109"/>
        <w:gridCol w:w="296"/>
        <w:gridCol w:w="867"/>
        <w:gridCol w:w="155"/>
        <w:gridCol w:w="109"/>
        <w:gridCol w:w="109"/>
        <w:gridCol w:w="109"/>
        <w:gridCol w:w="388"/>
        <w:gridCol w:w="746"/>
        <w:gridCol w:w="200"/>
        <w:gridCol w:w="109"/>
        <w:gridCol w:w="109"/>
        <w:gridCol w:w="109"/>
        <w:gridCol w:w="290"/>
        <w:gridCol w:w="560"/>
        <w:gridCol w:w="152"/>
        <w:gridCol w:w="109"/>
        <w:gridCol w:w="109"/>
        <w:gridCol w:w="109"/>
        <w:gridCol w:w="211"/>
        <w:gridCol w:w="826"/>
        <w:gridCol w:w="163"/>
      </w:tblGrid>
      <w:tr>
        <w:trPr/>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Fair Value Hierarchy</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Accrued Interest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406,495 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404,357 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406,531 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(1)Refer to Note 7 - Fair Value Measurements for a description of fair value hierarchy inputs.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of the Company’s investments have a stated contractual maturity date of less than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Note 7 - Fair Value Measurements</w:t>
      </w:r>
    </w:p>
    <w:p>
      <w:pPr>
        <w:pStyle w:val="TextBody"/>
        <w:bidi w:val="0"/>
        <w:spacing w:lineRule="auto" w:line="288" w:before="0" w:after="0"/>
        <w:jc w:val="both"/>
        <w:rPr/>
      </w:pPr>
      <w:r>
        <w:rPr>
          <w:rFonts w:ascii="Times New Roman;serif" w:hAnsi="Times New Roman;serif"/>
          <w:b w:val="false"/>
          <w:color w:val="000000"/>
          <w:sz w:val="20"/>
        </w:rPr>
        <w:t xml:space="preserve">The Company measures certain financial assets and liabilities at fair value on a recurring basis in accordance with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which establishes a framework for measuring fair value and a fair value hierarchy based on the observability of inputs. The fair value hierarchy consists of three broad levels, which gives the highest priority to unadjusted quoted prices in active markets for identical assets or liabilities (Level 1) and the lowest priority to unobservable inputs (Level 3). As of June 30, 2026 and December 31, 2025, the Company did not hold any securities classified within Level 3 of the fair value hierarchy. The three levels of the fair value hierarchy are described below:</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Level 1 inputs are quoted prices in active markets for identical assets and liabilities;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Level 2 inputs are inputs other than quoted prices included within Level 1 that are observable for the asset or liability, either directly or indirectly; and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Level 3 inputs are unobservable inputs that are supported by little or no market activity, which require management judgment or estimation.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were as follows (in thousands):</w:t>
      </w:r>
    </w:p>
    <w:tbl>
      <w:tblPr>
        <w:tblW w:w="9059"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109"/>
        <w:gridCol w:w="109"/>
        <w:gridCol w:w="297"/>
        <w:gridCol w:w="867"/>
        <w:gridCol w:w="216"/>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53" w:after="30"/>
              <w:jc w:val="center"/>
              <w:rPr/>
            </w:pPr>
            <w:r>
              <w:rPr/>
            </w:r>
          </w:p>
        </w:tc>
        <w:tc>
          <w:tcPr>
            <w:tcW w:w="1707" w:type="dxa"/>
            <w:gridSpan w:val="6"/>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Sheet Captions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erif" w:hAnsi="Times New Roman;serif"/>
                <w:b/>
                <w:color w:val="000000"/>
                <w:sz w:val="20"/>
              </w:rPr>
              <w:t>Total Gains</w:t>
            </w:r>
            <w:r>
              <w:rPr>
                <w:rFonts w:ascii="Times New Roman;serif" w:hAnsi="Times New Roman;serif"/>
                <w:b/>
                <w:color w:val="000000"/>
                <w:sz w:val="13"/>
              </w:rPr>
              <w:t>(1)</w:t>
            </w:r>
            <w:r>
              <w:rPr>
                <w:color w:val="000000"/>
              </w:rPr>
              <w:t xml:space="preserve"> </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(1)Unrealized gains from remeasurement of U.S. Treasury securities have been recognized in AOCI. Realized gains have been recognized in the other income, net line item in the unaudited condensed consolidated statement of operations.</w:t>
      </w:r>
    </w:p>
    <w:tbl>
      <w:tblPr>
        <w:tblW w:w="9127"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317"/>
        <w:gridCol w:w="1242"/>
        <w:gridCol w:w="165"/>
        <w:gridCol w:w="109"/>
        <w:gridCol w:w="109"/>
        <w:gridCol w:w="109"/>
        <w:gridCol w:w="211"/>
        <w:gridCol w:w="826"/>
        <w:gridCol w:w="109"/>
        <w:gridCol w:w="109"/>
        <w:gridCol w:w="109"/>
        <w:gridCol w:w="109"/>
        <w:gridCol w:w="211"/>
        <w:gridCol w:w="826"/>
        <w:gridCol w:w="109"/>
        <w:gridCol w:w="109"/>
        <w:gridCol w:w="109"/>
        <w:gridCol w:w="109"/>
        <w:gridCol w:w="109"/>
        <w:gridCol w:w="109"/>
        <w:gridCol w:w="284"/>
        <w:gridCol w:w="829"/>
        <w:gridCol w:w="207"/>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Fair Value Measurements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53" w:after="30"/>
              <w:jc w:val="center"/>
              <w:rPr/>
            </w:pPr>
            <w:r>
              <w:rPr/>
            </w:r>
          </w:p>
        </w:tc>
        <w:tc>
          <w:tcPr>
            <w:tcW w:w="1647" w:type="dxa"/>
            <w:gridSpan w:val="6"/>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Sheet Captions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erif" w:hAnsi="Times New Roman;serif"/>
                <w:b/>
                <w:color w:val="000000"/>
                <w:sz w:val="20"/>
              </w:rPr>
              <w:t>Total Gains</w:t>
            </w:r>
            <w:r>
              <w:rPr>
                <w:rFonts w:ascii="Times New Roman;serif" w:hAnsi="Times New Roman;serif"/>
                <w:b/>
                <w:color w:val="000000"/>
                <w:sz w:val="13"/>
              </w:rPr>
              <w:t>(1)</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406,531 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(1)Unrealized gains from remeasurement of U.S. Treasury securities have been recognized in AOCI. Realized gains have been recognized in the other income, net line item in the unaudited condensed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Note 8 - Balance Sheets Details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 (in thousands):</w:t>
      </w:r>
    </w:p>
    <w:tbl>
      <w:tblPr>
        <w:tblW w:w="4886" w:type="dxa"/>
        <w:jc w:val="left"/>
        <w:tblInd w:w="0" w:type="dxa"/>
        <w:tblLayout w:type="fixed"/>
        <w:tblCellMar>
          <w:top w:w="28" w:type="dxa"/>
          <w:left w:w="28" w:type="dxa"/>
          <w:bottom w:w="28" w:type="dxa"/>
          <w:right w:w="28" w:type="dxa"/>
        </w:tblCellMar>
      </w:tblPr>
      <w:tblGrid>
        <w:gridCol w:w="550"/>
        <w:gridCol w:w="482"/>
        <w:gridCol w:w="483"/>
        <w:gridCol w:w="258"/>
        <w:gridCol w:w="883"/>
        <w:gridCol w:w="133"/>
        <w:gridCol w:w="109"/>
        <w:gridCol w:w="109"/>
        <w:gridCol w:w="109"/>
        <w:gridCol w:w="344"/>
        <w:gridCol w:w="1175"/>
        <w:gridCol w:w="251"/>
      </w:tblGrid>
      <w:tr>
        <w:trPr/>
        <w:tc>
          <w:tcPr>
            <w:tcW w:w="5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inventory reserves were $20.1 million and $0.9 million,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recorded a charge of approximately $11.8 million and $19.2 million, respectively, to cost of revenue related to provision for excess, obsolete, and scrapped inventory, compared with $0.5 million and $1.4 million, respectively, for the corresponding periods in 2025. These charges were primarily related to the transition to the next generation of the Company’s product offering.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7300" w:type="dxa"/>
        <w:jc w:val="left"/>
        <w:tblInd w:w="0" w:type="dxa"/>
        <w:tblLayout w:type="fixed"/>
        <w:tblCellMar>
          <w:top w:w="28" w:type="dxa"/>
          <w:left w:w="28" w:type="dxa"/>
          <w:bottom w:w="28" w:type="dxa"/>
          <w:right w:w="28" w:type="dxa"/>
        </w:tblCellMar>
      </w:tblPr>
      <w:tblGrid>
        <w:gridCol w:w="1424"/>
        <w:gridCol w:w="1247"/>
        <w:gridCol w:w="1258"/>
        <w:gridCol w:w="234"/>
        <w:gridCol w:w="919"/>
        <w:gridCol w:w="121"/>
        <w:gridCol w:w="109"/>
        <w:gridCol w:w="109"/>
        <w:gridCol w:w="109"/>
        <w:gridCol w:w="344"/>
        <w:gridCol w:w="1175"/>
        <w:gridCol w:w="251"/>
      </w:tblGrid>
      <w:tr>
        <w:trPr/>
        <w:tc>
          <w:tcPr>
            <w:tcW w:w="142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144,482 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Taxes receivable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receivables and current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6475" w:type="dxa"/>
        <w:jc w:val="left"/>
        <w:tblInd w:w="0" w:type="dxa"/>
        <w:tblLayout w:type="fixed"/>
        <w:tblCellMar>
          <w:top w:w="28" w:type="dxa"/>
          <w:left w:w="28" w:type="dxa"/>
          <w:bottom w:w="28" w:type="dxa"/>
          <w:right w:w="28" w:type="dxa"/>
        </w:tblCellMar>
      </w:tblPr>
      <w:tblGrid>
        <w:gridCol w:w="1125"/>
        <w:gridCol w:w="987"/>
        <w:gridCol w:w="993"/>
        <w:gridCol w:w="234"/>
        <w:gridCol w:w="919"/>
        <w:gridCol w:w="121"/>
        <w:gridCol w:w="109"/>
        <w:gridCol w:w="109"/>
        <w:gridCol w:w="109"/>
        <w:gridCol w:w="313"/>
        <w:gridCol w:w="1228"/>
        <w:gridCol w:w="228"/>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center and computer equipment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277,421 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163,451 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1,077,800 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488,590 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986,808 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437,396 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Depreciation expense included in the condensed consolidated statements of operations was as follows (in thousands):</w:t>
      </w:r>
    </w:p>
    <w:tbl>
      <w:tblPr>
        <w:tblW w:w="7701" w:type="dxa"/>
        <w:jc w:val="left"/>
        <w:tblInd w:w="0" w:type="dxa"/>
        <w:tblLayout w:type="fixed"/>
        <w:tblCellMar>
          <w:top w:w="28" w:type="dxa"/>
          <w:left w:w="28" w:type="dxa"/>
          <w:bottom w:w="28" w:type="dxa"/>
          <w:right w:w="28" w:type="dxa"/>
        </w:tblCellMar>
      </w:tblPr>
      <w:tblGrid>
        <w:gridCol w:w="842"/>
        <w:gridCol w:w="738"/>
        <w:gridCol w:w="745"/>
        <w:gridCol w:w="240"/>
        <w:gridCol w:w="821"/>
        <w:gridCol w:w="124"/>
        <w:gridCol w:w="124"/>
        <w:gridCol w:w="124"/>
        <w:gridCol w:w="124"/>
        <w:gridCol w:w="240"/>
        <w:gridCol w:w="702"/>
        <w:gridCol w:w="124"/>
        <w:gridCol w:w="109"/>
        <w:gridCol w:w="109"/>
        <w:gridCol w:w="109"/>
        <w:gridCol w:w="218"/>
        <w:gridCol w:w="746"/>
        <w:gridCol w:w="112"/>
        <w:gridCol w:w="112"/>
        <w:gridCol w:w="112"/>
        <w:gridCol w:w="112"/>
        <w:gridCol w:w="218"/>
        <w:gridCol w:w="637"/>
        <w:gridCol w:w="159"/>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depreciation expense</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consisted of the following (in thousands):</w:t>
      </w:r>
    </w:p>
    <w:tbl>
      <w:tblPr>
        <w:tblW w:w="6939" w:type="dxa"/>
        <w:jc w:val="left"/>
        <w:tblInd w:w="0" w:type="dxa"/>
        <w:tblLayout w:type="fixed"/>
        <w:tblCellMar>
          <w:top w:w="28" w:type="dxa"/>
          <w:left w:w="28" w:type="dxa"/>
          <w:bottom w:w="28" w:type="dxa"/>
          <w:right w:w="28" w:type="dxa"/>
        </w:tblCellMar>
      </w:tblPr>
      <w:tblGrid>
        <w:gridCol w:w="1293"/>
        <w:gridCol w:w="1134"/>
        <w:gridCol w:w="1142"/>
        <w:gridCol w:w="234"/>
        <w:gridCol w:w="919"/>
        <w:gridCol w:w="121"/>
        <w:gridCol w:w="109"/>
        <w:gridCol w:w="109"/>
        <w:gridCol w:w="109"/>
        <w:gridCol w:w="313"/>
        <w:gridCol w:w="1228"/>
        <w:gridCol w:w="228"/>
      </w:tblGrid>
      <w:tr>
        <w:trPr/>
        <w:tc>
          <w:tcPr>
            <w:tcW w:w="129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purchases and expenses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150,866 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tax payable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warranty liability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related to early exercised options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accrued and other current liabilities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236,910 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139,536 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changes in provision for product warranty during the six months ended June 30, 2026 and 2025 (in thousands):</w:t>
      </w:r>
    </w:p>
    <w:tbl>
      <w:tblPr>
        <w:tblW w:w="4914" w:type="dxa"/>
        <w:jc w:val="left"/>
        <w:tblInd w:w="0" w:type="dxa"/>
        <w:tblLayout w:type="fixed"/>
        <w:tblCellMar>
          <w:top w:w="28" w:type="dxa"/>
          <w:left w:w="28" w:type="dxa"/>
          <w:bottom w:w="28" w:type="dxa"/>
          <w:right w:w="28" w:type="dxa"/>
        </w:tblCellMar>
      </w:tblPr>
      <w:tblGrid>
        <w:gridCol w:w="891"/>
        <w:gridCol w:w="783"/>
        <w:gridCol w:w="786"/>
        <w:gridCol w:w="211"/>
        <w:gridCol w:w="721"/>
        <w:gridCol w:w="109"/>
        <w:gridCol w:w="109"/>
        <w:gridCol w:w="109"/>
        <w:gridCol w:w="109"/>
        <w:gridCol w:w="211"/>
        <w:gridCol w:w="721"/>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 during the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Note 9 - Other Income,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income, net consisted of the following (in thousands):</w:t>
      </w:r>
    </w:p>
    <w:tbl>
      <w:tblPr>
        <w:tblW w:w="9211" w:type="dxa"/>
        <w:jc w:val="left"/>
        <w:tblInd w:w="0" w:type="dxa"/>
        <w:tblLayout w:type="fixed"/>
        <w:tblCellMar>
          <w:top w:w="28" w:type="dxa"/>
          <w:left w:w="28" w:type="dxa"/>
          <w:bottom w:w="28" w:type="dxa"/>
          <w:right w:w="28" w:type="dxa"/>
        </w:tblCellMar>
      </w:tblPr>
      <w:tblGrid>
        <w:gridCol w:w="1343"/>
        <w:gridCol w:w="1179"/>
        <w:gridCol w:w="1183"/>
        <w:gridCol w:w="220"/>
        <w:gridCol w:w="753"/>
        <w:gridCol w:w="113"/>
        <w:gridCol w:w="113"/>
        <w:gridCol w:w="113"/>
        <w:gridCol w:w="113"/>
        <w:gridCol w:w="220"/>
        <w:gridCol w:w="862"/>
        <w:gridCol w:w="113"/>
        <w:gridCol w:w="109"/>
        <w:gridCol w:w="109"/>
        <w:gridCol w:w="109"/>
        <w:gridCol w:w="211"/>
        <w:gridCol w:w="721"/>
        <w:gridCol w:w="109"/>
        <w:gridCol w:w="109"/>
        <w:gridCol w:w="109"/>
        <w:gridCol w:w="109"/>
        <w:gridCol w:w="211"/>
        <w:gridCol w:w="826"/>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Non-cash interest expense</w:t>
            </w:r>
            <w:r>
              <w:rPr>
                <w:rFonts w:ascii="Times New Roman;serif" w:hAnsi="Times New Roman;serif"/>
                <w:b w:val="false"/>
                <w:color w:val="000000"/>
                <w:sz w:val="13"/>
              </w:rPr>
              <w:t>(1)</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Extinguishment of forward contract liability</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368,358 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(1)During the three and six months ended June 30, 2026, the Company recognized approximately $19.7 million and $38.6 million, respectively, of non-cash interest expense related to the significant financing component of the OpenAI arrangement. Refer to Note 10 - Debt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10 - Debt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Working Capital Loan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January 2026, in connection with the MRA with OpenAI described in Note 3 - Revenue, the Company received cash proceeds of approximately $1.0 billion pursuant to the Working Capital Loan with OpenAI. Upon receipt, the proceeds were recorded as restricted cash. Amounts held as restricted cash are subject to contractual use restrictions and are available to fund permitted uses related to the build-out of infrastructure and related capabilities required to deliver services under the MRA.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accounts for the Working Capital Loan as debt under ASC 470. The Working Capital Loan, which is a secured promissory note, bears stated interest at 6% per annum, unless waived or deemed paid in accordance with the secured promissory note and the MRA, and matures no later than December 31, 2032, unless earlier repaid or accelerated. The Working Capital Loan is secured by a first-priority security interest in the lockbox account and the related amounts held therein.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Working Capital Loan may be repaid in cash or, subject to the terms of the MRA and the secured promissory note, through service fees, compute capacity, hardware, other services, pass-through monthly recurring charges, applicable asset transfers, or other permitted non-cash credits under the MRA. As of June 30, 2026, no cash payments had been made and $86.3 million of non-cash billings were credited as an offset to the outstanding loan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Working Capital Loan includes customary covenants, events of default and remedies. Upon the occurrence of certain events, including termination of the MRA for reasons other than OpenAI’s material uncured breach, outstanding principal and accrued unpaid interest may become immediately due and payable, and OpenAI may exercise remedies with respect to the collateral. As of June 30, 2026, the Company was in compliance with the terms of the secured promissory note, and no event of default had occurred.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MRA and Working Capital Loan are evaluated together in accounting for the overall OpenAI customer arrangement. The timing of OpenAI’s funding and the expected repayment of the Working Capital Loan through service fees and other permitted non-cash credits under the MRA result in a significant financing component in the MRA services arrangement. The Company recognizes interest expense for the significant financing component and records a corresponding increase to deferred revenue. The related deferred revenue, including amounts attributable to the significant financing component, is recognized as revenue as the Company satisfies its performance obligations under the MRA.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recognized approximately $19.7 million and $38.6 million of interest expense, respectively, related to the significant financing component of the OpenAI arrangement that is included in the other income, net line item in the unaudited condensed consolidated statement of operations and recorded a corresponding increase to deferred revenue in the unaudited condensed consolidated balance sheet.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principal balance of the Working Capital Loan as of June 30, 2026 (in thousands):</w:t>
      </w:r>
    </w:p>
    <w:tbl>
      <w:tblPr>
        <w:tblW w:w="7562" w:type="dxa"/>
        <w:jc w:val="left"/>
        <w:tblInd w:w="0" w:type="dxa"/>
        <w:tblLayout w:type="fixed"/>
        <w:tblCellMar>
          <w:top w:w="28" w:type="dxa"/>
          <w:left w:w="28" w:type="dxa"/>
          <w:bottom w:w="28" w:type="dxa"/>
          <w:right w:w="28" w:type="dxa"/>
        </w:tblCellMar>
      </w:tblPr>
      <w:tblGrid>
        <w:gridCol w:w="2135"/>
        <w:gridCol w:w="1873"/>
        <w:gridCol w:w="1886"/>
        <w:gridCol w:w="109"/>
        <w:gridCol w:w="109"/>
        <w:gridCol w:w="109"/>
        <w:gridCol w:w="211"/>
        <w:gridCol w:w="976"/>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 received in 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non-cash repayments through services and other permitted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Working Capital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Working Capital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Revolving Credit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14, 2026, the Company entered into a revolving credit and guaranty agreement (the “Revolving Credit Agreement”) with Morgan Stanley Senior Funding, Inc., as administrative agent and collateral agent, and the lenders and letter of credit issuers party thereto. The agreement provides for an initial revolving credit facility of up to $250.0 million, available solely for standby letters of credit to data center landlords and developers.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completion of the IPO and satisfaction of pro forma covenant compliance and other customary closing conditions on June 17, 2026 (such date, the “Phase Two Effective Date”), the facility increased to $850.0 million and may be used for general corporate purposes. Borrowings bear interest at variable rates based on a base rate or term rate plus applicable margins, and undrawn commitments are subject to commitment fees. The facility matures on April 14, 2031. The agreement includes a $150.0 million minimum liquidity covenant, customary covenants and events of default, and collateral terms that were updated upon the Phase Two Effective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incurred debt issuance costs of $3.8 million related to the Revolving Credit Agreement. These costs are being amortized over the term of the agreement. For the three and six months ended June 30, 2026, the Company recorded amortization expense of $0.2 million. As of June 30, 2026, the Company had not borrowed under the Revolving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11 - Redeemable Convertible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shares of redeemable convertible preferred stock issued and outstanding.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2 - Basis of Presentation and Summary of Significant Accounting Policies, in connection with the IPO, all outstanding shares of redeemable convertible preferred stock were converted into 124,652,775 shares of Class B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12 -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completion of the IPO on May 15, 2026, the Company had two classes of authorized common stock: Class A common stock and Class N common stock. The rights of holders of Class A common stock and Class N common stock were identical, except with respect to voting and conversion rights. Each holder of Class A common stock was entitled to one vote per share, and each holder of Class N common stock was entitled to no votes per share. Each share of Class N common stock automatically converted to one fully paid and nonassessable share of Class A common stock upon the occurrence of a common transfer, meaning any direct or indirect sale, exchange, redemption, assignment, distribution, gift, retirement, transfer, conveyance, or other disposition. Permitted transferees included entities under common control with or controlled by such holder of the Class N common stock or a transferee if the holder provided prior written notice to the Company electing for the transfer to not result in a conversion. Once converted into Class A common stock, the Class N common stock would not be reissued.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2026, in connection with the IPO, the Company filed an amended and restated certificate of incorporation (the “Restated Certificate”) to authorize a total of 3,500,000,000 shares of Class A common stock, 240,000,000 shares of Class B common stock, 100,000,000 shares of Class N common stock, and 100,000,000 shares of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rights of the holders of Class A common stock, Class B common stock, and Class N common stock (referred to together as the “common stock”) are identical, except with respect to voting and conversion rights.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holder of the Company’s Class A common stock is entitled to one vote per share, each holder of the Company’s Class B common stock is entitled to 20 votes per share, and each holder of the Company’s Class N common stock is entitled to no votes per share. The holders of the Company’s Class A common stock and Class B common stock will generally vote as a single class on all matters submitted to a vote of its stockholders, unless otherwise required by Delaware law or the Restated Certificate. Delaware law could require holders of the Company’s Class A common stock or Class B common stock, or Class N common stock to vote separately as a single class in the following circumstances: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if the Company were to seek to amend its Restated Certificate to increase or decrease the par value of a class of its capital stock, then that class would be required to vote separately to approve the proposed amendment; and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if the Company were to seek to amend its Restated Certificate in a manner that alters or changes the powers, preferences, or special rights of a class of its capital stock in a manner that affects its holders adversely, then that class would be required to vote separately to approve the proposed amendment.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Restated Certificate does not provide for cumulative voting for the election of directors. As a result, the holders of a majority of shares of the Company’s Class A common stock and Class B common stock can elect all of the directors then standing for election. The Restated Certificate established a classified board of directors, to be divided into three classes with staggered three-year terms. Only one class of directors will be elected at each annual meeting of the Company’s stockholders, with the other classes continuing for the remainder of their respective three-year terms.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Conversion Rights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share of Class B common stock is convertible at any time at the option of the holder into one share of Class A common stock. Following the completion of the IPO and prior to the Final Conversion Date (as defined below), each share of Class B common stock will convert automatically into one share of Class A common stock upon sale or transfer, except for certain permitted transfers, as set forth in the Restated Certificate, including estate planning or other transfers among the Founders (as defined below) and their permitted entities and permitted transferees. In addition, each share of Class B common stock held by a Founder will convert automatically into one share of the Company’s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In addition, all outstanding shares of Class B common stock will convert automatically into one share of Class A common stock on the date that is six months following the date on which no Founder is an employee or director of the Company (unless a Founder has rejoined the Company during such six-month period). We refer to the date on which such final conversion of all outstanding shares of Class B common stock pursuant to the terms of the Restated Certificate occurs as the “Final Conversion Date,” and we refer to each of Andrew D. Feldman, Sean Lie, Jean-Philippe Fricker, and Michael James as the “Founders.” Once converted into Class A common stock, the Class B common stock will not be reissued.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share of Class N common stock will convert automatically into one share of Class A common stock upon any transfer, whether or not for value, except for certain permitted transfers, as set forth in the Restated Certificate. Permitted transferees include entities under common control with or controlled by such holder of Class N common stock or a transferee if the holder provides prior written notice to us electing for the transfer to not result in a conversion. Once converted into Class A common stock, the Class N common stock will not be reissued.</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Dividend Rights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Subject to preferences that may apply to any outstanding preferred stock, holders of the Company’s common stock are entitled to receive dividends out of legally available funds if, when, and in the amounts declared by the Company’s board of directors. However, if a dividend is paid in the form of common stock, rights to acquire common stock, or securities convertible into or exchangeable for common stock, holders of Class A, Class B, and Class N common stock will generally receive securities of their respective class, unless different treatment is approved by a majority of the outstanding shares of each class voting separately.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Restated Certificate also authorizes the issuance of undesignated preferred stock with rights and preferences, including voting rights, designated from time to time by the Company’s board of directors.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G42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issued a warrant to G42 (as defined above) to purchase an aggregate of up to 1,857,516 shares of Class N common stock at an exercise price of $0.01 per share (the “G42 Warrant”). The warrant was fully vested and immediately exercisable upon issuance. The warrant is classified as an equity instrument, and the grant date fair value was $82.02 per share. The G42 Warrant was exercised in full in January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2026, the Company issued a warrant to G42 to purchase an aggregate of up to 1,655,975 shares of Class N common stock at an exercise price of $0.01 per share (the “2026 G42 Warrant”). The warrant was fully vested and immediately exercisable upon issuance. The warrant is classified as an equity instrument, and the grant date fair value was $90.23 per share. The 2026 G42 Warrant was exercised in full in April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a customer warrant asset of $149.4 million in the three months ended June 30, 2026, all of which will be recognized as a reduction in revenue in the consolidated statement of operations in proportion to the amount of related revenues through October 2031.</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OpenAI</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Concurrent with the MRA, as discussed in Note 3 - Revenue, the Company issued to OpenAI a warrant to purchase an aggregate of up to 33,445,026 shares of the Company’s Class N common stock at an exercise price of $0.00001 per share (the “OpenAI Warrant”). The OpenAI Warrant vests in multiple tranches upon achievement of specified milestones associated with the MRA, including funding of the Working Capital Loan, delivery of the Committed Capacity and Additional Capacity in tranches, and certain market capitalization or customer payment thresholds. The Company concluded that vesting of the tranches related to the Working Capital Loan, the Committed Capacity, and the tranche that vests upon the earlier of achieving specified market capitalization or customer payment thresholds under the MRA was probable of vesting, while the remaining tranches associated with the Additional Capacity were not considered probable of vesting.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certain terms and conditions, the OpenAI Warrant expires on the earlier of December 24, 2035 and five business days following the first date during which there are no binding capacity purchase commitments or contractually obligated current or future payments under the MRA. The OpenAI Warrant is classified as an equity instrument, and the grant date fair value was $82.02 per share. In January 2026, the vesting condition associated with 4,459,337 shares of Class N common stock was satisfied under the OpenAI Warrant. In June 2026, the vesting condition associated with 5,574,171 shares of Class N common stock was satisfied under the OpenAI Warrant.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customer warrant assets of $457.2 million and $822.9 million for the three and six months ended June 30, 2026. The customer warrant asset will be recognized as a reduction of revenue in proportion to the related revenue recognized. As of June 30, 2026, none of the vested portion of the OpenAI Warrant had been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recorded customer warrant assets that total $1.1 billion and $152.4 million as of June 30, 2026 and December 31, 2025, respectively. During the three and six months ended June 30, 2026, the Company recognized $44.3 million and $46.3 million, respectively, as a reduction in revenue in the condensed consolidated statements of operations in proportion to the amount of related revenues. The remaining balance of the customer warrant assets as of June 30, 2026 will be recorded as a reduction in revenue in the consolidated statement of operations through October 2031.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the Company issued to Amazon.com NV Investment Holdings LLC (the “AWS Warrantholder”) a warrant (the “AWS Warrant”) to acquire up to 2,696,678 shares of Class N common stock (the “AWS Warrant Shares”) at an exercise price of $100.00 per AWS Warrant Share. The warrant is classified as an equity instrument, and the grant date fair value was determined using a Black-Scholes option-pricing model. The estimated grant date fair value is $185.38 per AWS Warrant Share. Of these AWS Warrant Shares, 269,668 AWS Warrant Shares vested immediately upon issuance of the AWS Warrant, and the remaining 2,427,010 AWS Warrant Shares vest in tranches upon the attainment of specified payment thresholds prior to the fifth anniversary of issuance, based on aggregate payments by Amazon Web Services to us pursuant to certain commercial arrangements between the parties. The AWS Warrant expires on June 19, 2033.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a customer warrant asset of $50.0 million in the three months ended June 30, 2026.</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2016 Equity Incentive Plan and 2026 Incentive Award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Company’s board of directors adopted, and its stockholders approved, the 2026 Incentive Award Plan (the “2026 Plan”), which became effective on May 12,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2026 Plan provides for the grant of stock options, stock appreciation rights, restricted stock awards, restricted stock units (“RSUs”), performance awards, and other stock-based awards to employees, directors, and consultants. An aggregate of 42,650,268 shares of the Company’s Class A common stock was initially reserved for issuance under the 2026 Plan. The number of shares available for issuance under the 2026 Plan is subject to adjustment pursuant to the terms of the plan, including annual automatic increases beginning January 1, 2027.</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effectiveness of the 2026 Plan, no further awards may be granted under the Company’s 2016 Equity Incentive Plan (as amended, the “2016 Plan”), although awards previously granted under the 2016 Plan remain outstanding and continue to be governed by their existing terms.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Company’s board of directors adopted, and the Company’s stockholders approved, the 2026 Employee Stock Purchase Plan (the “ESPP”), which became effective on May 12,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option purchase price will be the lower of 85% of the closing trading price per share of the Company’s Class A common stock as of the first date of an offering period in which a participant is enrolled or 85% of the closing trading price per share as of the purchase date, which will occur on the last day of each purchase period within an offering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maximum number of shares of the Company’s Class A common stock that will be authorized for sale under the ESPP is equal to the sum of (i) 3,554,189 shares of Class A common stock and (ii) an annual increase on the first day of each fiscal year beginning in 2027 and ending in 2036, equal to the lesser of (A) 1% of the sum of (1) all shares of all classes of the Company’s common stock, and (2) the number of shares issuable upon the exercise of warrants to purchase shares of the Company’s common stock with an exercise price per share of $0.01 or less, in each case, outstanding on the last day of the immediately preceding fiscal year and (B) such smaller number of shares of Class A common stock as determined by the Company’s board of directors; provided, however, that no more than 48,870,099 shares of the Company’s Class A common stock may be issued under the ESPP. The shares reserved for issuance under the ESPP may be authorized but unissued shares, treasury shares, or reacquired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13 - Stock-Based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stock-based compensation expense for the three and six months ended June 30, 2026 and 2025 was as follows (in thousands):</w:t>
      </w:r>
    </w:p>
    <w:tbl>
      <w:tblPr>
        <w:tblW w:w="8955" w:type="dxa"/>
        <w:jc w:val="left"/>
        <w:tblInd w:w="0" w:type="dxa"/>
        <w:tblLayout w:type="fixed"/>
        <w:tblCellMar>
          <w:top w:w="28" w:type="dxa"/>
          <w:left w:w="28" w:type="dxa"/>
          <w:bottom w:w="28" w:type="dxa"/>
          <w:right w:w="28" w:type="dxa"/>
        </w:tblCellMar>
      </w:tblPr>
      <w:tblGrid>
        <w:gridCol w:w="1249"/>
        <w:gridCol w:w="1095"/>
        <w:gridCol w:w="1105"/>
        <w:gridCol w:w="220"/>
        <w:gridCol w:w="862"/>
        <w:gridCol w:w="113"/>
        <w:gridCol w:w="113"/>
        <w:gridCol w:w="113"/>
        <w:gridCol w:w="113"/>
        <w:gridCol w:w="220"/>
        <w:gridCol w:w="753"/>
        <w:gridCol w:w="113"/>
        <w:gridCol w:w="109"/>
        <w:gridCol w:w="109"/>
        <w:gridCol w:w="109"/>
        <w:gridCol w:w="211"/>
        <w:gridCol w:w="826"/>
        <w:gridCol w:w="109"/>
        <w:gridCol w:w="109"/>
        <w:gridCol w:w="109"/>
        <w:gridCol w:w="109"/>
        <w:gridCol w:w="211"/>
        <w:gridCol w:w="72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377,008 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stock-based compensation expense by security type included in the unaudited condensed consolidated statements of operations (in thousands):</w:t>
      </w:r>
    </w:p>
    <w:tbl>
      <w:tblPr>
        <w:tblW w:w="8956" w:type="dxa"/>
        <w:jc w:val="left"/>
        <w:tblInd w:w="0" w:type="dxa"/>
        <w:tblLayout w:type="fixed"/>
        <w:tblCellMar>
          <w:top w:w="28" w:type="dxa"/>
          <w:left w:w="28" w:type="dxa"/>
          <w:bottom w:w="28" w:type="dxa"/>
          <w:right w:w="28" w:type="dxa"/>
        </w:tblCellMar>
      </w:tblPr>
      <w:tblGrid>
        <w:gridCol w:w="1247"/>
        <w:gridCol w:w="1097"/>
        <w:gridCol w:w="1106"/>
        <w:gridCol w:w="220"/>
        <w:gridCol w:w="862"/>
        <w:gridCol w:w="113"/>
        <w:gridCol w:w="113"/>
        <w:gridCol w:w="113"/>
        <w:gridCol w:w="113"/>
        <w:gridCol w:w="220"/>
        <w:gridCol w:w="753"/>
        <w:gridCol w:w="113"/>
        <w:gridCol w:w="109"/>
        <w:gridCol w:w="109"/>
        <w:gridCol w:w="109"/>
        <w:gridCol w:w="211"/>
        <w:gridCol w:w="826"/>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bonus awards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377,008 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secondary market transactions in which certain current and former employees sold shares of common stock to certain existing equity holders in the Company, the Company recognized the excess of the prices paid over the fair value of the shares sold as stock-based compensation expense of approximately $2.0 million and $5.9 million for the three and six months ended June 30, 2026, respectively, and approximately $1.5 million and $3.0 million for the three and six months ended June 30, 2025,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Executive Grants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Company’s board of directors approved equity awards to its co-founder executives, the Chief Executive Officer (“CEO”) and the Chief Technology Officer (“CTO”), consisting of RSUs and PRSUs.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granted 743,902 RSUs to the CEO and 495,426 RSUs to the CTO. These RSUs vest subject to both service-based and liquidity-based vesting conditions. The service-based condition is satisfied ratably on a monthly basis beginning January 5, 2026 over periods of 48 to 60 months, subject to continued qualifying service. The liquidity-based vesting condition was satisfied on May 13, 2026 in connection with the IPO. The Company will recognize the aggregate grant date fair value of $101.6 million as stock-based compensation expense for these awards using the accelerated attribution method over the requisite service period from the date of completion of the IPO.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granted 5,700,000 PRSUs to the CEO and 3,300,000 PRSUs to the CTO. Each PRSU represents the right to receive one share of Class B common stock upon vesting. These PRSUs have service-based, market-based, and performance-based vesting conditions. The PRSUs vest in three equal tranches based on the achievement of market capitalization thresholds of $75.0 billion, $150.0 billion, and $250.0 billion, respectively. Vesting may occur beginning six months following the completion of the IPO, subject to continued qualifying service through the applicable vesting date. Market capitalization is determined based on the 90-trading-day trailing average of the Company’s Class A common stock price multiplied by the number of outstanding shares of Class A common stock. Unvested PRSUs are forfeited upon termination of qualifying service, and any PRSUs that remain unvested as of the ninth anniversary of the completion of the IPO will be forfeited. In the event of a change in control, achievement of the market capitalization thresholds is determined based on the transaction price, with linear interpolation applied, as applicable. The performance-based vesting condition for the PRSUs was satisfied in connection with the IPO on May 13,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calculated the grant date fair value of the PRSUs based on multiple stock price paths developed through the use of a Monte Carlo simulation. A Monte Carlo simulation also calculates a derived service period for each of the three vesting tranches, which is the measure of the expected time to achieve each market capitalization threshold. A Monte Carlo simulation requires the use of various assumptions, including the underlying stock price, volatility, and the risk-free interest rate as of the valuation date, corresponding to the length of time remaining in the performance period, and expected dividend yield. The grant date fair value of each tranche ranged from $45.89 to $72.69 per share, with an aggregate grant date fair value of $531.2 million. The derived service period of each tranche of the PRSUs ranged from 3.4 years to 5.9 years. The Company will recognize the aggregate stock-based compensation expense of $531.2 million over the derived service period of each tranche using the accelerated attribution method as long as the executives satisfy their service-based vesting conditions. If the market capitalization thresholds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 In May 2026, upon completion of the IPO, achievement of the performance-based vesting condition was deemed probable. The Company recognized $34.2 million of stock-based compensation expense related to the PRSUs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14 -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was (0.1%) and 0.5% for the three months ended June 30, 2026 and 2025, respectively, and (0.4%) and 1.2% for the six months ended June 30, 2026 and 2025,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computed its provision for income taxes for the three and six months ended June 30, 2026 and 2025 based on a year-to-date actual effective tax rate because the forecasted annual effective tax rate was highly sensitive to fluctuations in pre-tax income and a reliable estimate of the annual effective tax rate could not be made. Despite experiencing pre-tax losses and maintaining a full valuation allowance on its U.S. deferred tax assets, the Company recorded income tax expense in all periods presented primarily due to the impact of foreign taxes in its international subsidiaries and current state taxes in certain U.S. jurisdictions.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intends to continue maintaining a full valuation allowance on all its U.S. deferred tax assets until there is sufficient evidence to support the reversal of all or some portion of these allowances which the Company does not anticipate in the foreseeable future. A release of valuation allowance would result in the recognition of certain deferred tax assets and a possible decrease to income tax expense in the period the release is recorded. The exact timing and amount of the valuation allowance release are subject to the accumulation of positive evidence, for example levels of profitability, that the Company is able to achieve.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Note 15 - Leases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lease obligations primarily consist of operating leases for our headquarters’ campus and domestic and international offices and data centers, with lease periods expiring between fiscal years 2027 and 2037.</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Lease costs included in the measurement of lease obligations and other information related to non-cancelable operating leases were as follows (in thousands):</w:t>
      </w:r>
    </w:p>
    <w:tbl>
      <w:tblPr>
        <w:tblW w:w="7545" w:type="dxa"/>
        <w:jc w:val="left"/>
        <w:tblInd w:w="0" w:type="dxa"/>
        <w:tblLayout w:type="fixed"/>
        <w:tblCellMar>
          <w:top w:w="28" w:type="dxa"/>
          <w:left w:w="28" w:type="dxa"/>
          <w:bottom w:w="28" w:type="dxa"/>
          <w:right w:w="28" w:type="dxa"/>
        </w:tblCellMar>
      </w:tblPr>
      <w:tblGrid>
        <w:gridCol w:w="738"/>
        <w:gridCol w:w="648"/>
        <w:gridCol w:w="653"/>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721"/>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Short-term lease costs</w:t>
            </w:r>
            <w:r>
              <w:rPr>
                <w:rFonts w:ascii="Times New Roman;serif" w:hAnsi="Times New Roman;serif"/>
                <w:b w:val="false"/>
                <w:color w:val="000000"/>
                <w:sz w:val="13"/>
              </w:rPr>
              <w:t>(1)</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(1)Short-term lease costs on leases with terms of over one month and less than one year.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lease terms and discount rates were as follows:</w:t>
      </w:r>
    </w:p>
    <w:tbl>
      <w:tblPr>
        <w:tblW w:w="7824" w:type="dxa"/>
        <w:jc w:val="left"/>
        <w:tblInd w:w="0" w:type="dxa"/>
        <w:tblLayout w:type="fixed"/>
        <w:tblCellMar>
          <w:top w:w="28" w:type="dxa"/>
          <w:left w:w="28" w:type="dxa"/>
          <w:bottom w:w="28" w:type="dxa"/>
          <w:right w:w="28" w:type="dxa"/>
        </w:tblCellMar>
      </w:tblPr>
      <w:tblGrid>
        <w:gridCol w:w="1494"/>
        <w:gridCol w:w="1312"/>
        <w:gridCol w:w="1319"/>
        <w:gridCol w:w="109"/>
        <w:gridCol w:w="109"/>
        <w:gridCol w:w="109"/>
        <w:gridCol w:w="282"/>
        <w:gridCol w:w="282"/>
        <w:gridCol w:w="711"/>
        <w:gridCol w:w="109"/>
        <w:gridCol w:w="109"/>
        <w:gridCol w:w="109"/>
        <w:gridCol w:w="360"/>
        <w:gridCol w:w="360"/>
        <w:gridCol w:w="1050"/>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future minimum lease payments of the Company’s operating lease liabilities were due as follows (in thousands):</w:t>
      </w:r>
    </w:p>
    <w:tbl>
      <w:tblPr>
        <w:tblW w:w="5471" w:type="dxa"/>
        <w:jc w:val="left"/>
        <w:tblInd w:w="0" w:type="dxa"/>
        <w:tblLayout w:type="fixed"/>
        <w:tblCellMar>
          <w:top w:w="28" w:type="dxa"/>
          <w:left w:w="28" w:type="dxa"/>
          <w:bottom w:w="28" w:type="dxa"/>
          <w:right w:w="28" w:type="dxa"/>
        </w:tblCellMar>
      </w:tblPr>
      <w:tblGrid>
        <w:gridCol w:w="1272"/>
        <w:gridCol w:w="1118"/>
        <w:gridCol w:w="1120"/>
        <w:gridCol w:w="109"/>
        <w:gridCol w:w="109"/>
        <w:gridCol w:w="109"/>
        <w:gridCol w:w="289"/>
        <w:gridCol w:w="1134"/>
        <w:gridCol w:w="211"/>
      </w:tblGrid>
      <w:tr>
        <w:trPr/>
        <w:tc>
          <w:tcPr>
            <w:tcW w:w="127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(remaining 6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132,394 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left w:val="single" w:sz="8" w:space="0" w:color="DBDBDB"/>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123,261 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690,304 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568,827 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thousands):</w:t>
      </w:r>
    </w:p>
    <w:tbl>
      <w:tblPr>
        <w:tblW w:w="8318" w:type="dxa"/>
        <w:jc w:val="left"/>
        <w:tblInd w:w="0" w:type="dxa"/>
        <w:tblLayout w:type="fixed"/>
        <w:tblCellMar>
          <w:top w:w="28" w:type="dxa"/>
          <w:left w:w="28" w:type="dxa"/>
          <w:bottom w:w="28" w:type="dxa"/>
          <w:right w:w="28" w:type="dxa"/>
        </w:tblCellMar>
      </w:tblPr>
      <w:tblGrid>
        <w:gridCol w:w="2126"/>
        <w:gridCol w:w="1864"/>
        <w:gridCol w:w="1874"/>
        <w:gridCol w:w="211"/>
        <w:gridCol w:w="826"/>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Leases Not Yet Commenced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June 30, 2026, the Company executed non-cancelable lease agreements for additional data center capacity with lease commencement dates in 2026. As of June 30, 2026, the leases had not commenced and therefore are not reflected in the consolidated balance sheets. The Company will recognize operating lease right-of-use assets and corresponding lease liabilities at the commencement date based on the present value of lease payments over the respective lease terms. Aggregate undiscounted future minimum lease payments under these agreements total approximately $1.5 billion over the lease term.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16 - Commitments and Contingencies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certain contracts to receive consulting and other services that represent unconditional purchase obligations to purchase goods or services that are enforceable and legally binding. Purchase commitments exclude agreements that are cancellable without penalty and unconditional purchase commitments with a remaining term of one year or less. As of June 30, 2026, future payments related to non-cancelable commitments under these contracts are due as follows: $3.6 million (remaining six months of 2026), $6.2 million (2027), and $0.5 million (2028).</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October 2025, a putative class action was filed against the Company in the United States District Court for the Northern District of California. The plaintiffs subsequently filed an amended complaint alleging copyright infringement in connection with certain large language models and datasets. The amended complaint seeks statutory and other damages, declaratory and equitable relief, attorneys’ fees, and costs. The Company filed an answer denying the claims and intends to vigorously defend the action. The Company is unable to estimate any reasonably possible loss, or range of loss, with respect to this matter at this time. It is reasonably possible that the Company’s assessment could change in the near term as the matter develops. Legal defense costs are expensed as incurred.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be subject from time to time to various proceedings, lawsuits, disputes, or claims. Although the Company cannot predict with assurance the outcome of any litigation, it does not believe there are currently any such actions that, if resolved unfavorably, would have a material impact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17 - Subsequent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evaluated all transactions through August 12, 2026, the date these unaudited condensed consolidated financial statements were issued, and has determined that there are no other events that would require disclosure in or adjustment to these financial statements except as discussed below.</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OpenAI Warrant Exercise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Concurrent with the MRA, as discussed in Note 3 - Revenue, the Company issued to OpenAI a warrant to purchase an aggregate of up to 33,445,026 shares of the Company’s Class N common stock at an exercise price of $0.00001 per share (the “OpenAI Warrant”). The OpenAI Warrant vests in multiple tranches upon achievement of specified milestones associated with the MRA, including funding of the Working Capital Loan, delivery of the Committed Capacity and Additional Capacity in tranches, and certain market capitalization or customer payment thresholds. In July 2026, the OpenAI Warrant was partially exercised to purchase 10,033,508 shares of the Company’s Class N common stock.</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2026, the Company executed non-cancelable lease agreements for additional data center capacity with lease commencement dates in 2026. The Company will recognize operating lease right-of-use assets and corresponding lease liabilities at the commencement date based on the present value of lease payments over the respective lease terms. Aggregate undiscounted future minimum lease payments under these agreements total approximately $753.4 million over the lease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financial condition and results of operations should be read together with our unaudited condensed consolidated financial statements and related notes, and other financial information, included elsewhere in this Quarterly Report on Form 10-Q and our final prospectus (the “Prospectus”) filed with the Securities and Exchange Commission (the “SEC”) pursuant to Rule 424(b) under the Securities Act of 1933, as amended (the “Securities Act”), on May 14, 2026, in connection with our initial public offering (the “IPO”). In addition to our historical results of operations and financial position, this discussion contains forward-looking statements that involve risks and uncertainties. Our actual results could differ materially from those discussed in or implied by these forward-looking statements. Factors that could cause or contribute to such differences include, but are not limited to, those discussed in the section titled “Risk Factors” in Part II, Item 1A of this Quarterly Report on Form 10-Q. Our historical results are not necessarily indicative of the results to be expected for any period in the future, and results for any interim period should not be construed as an inference of what our results would be for any full year or future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building the fastest AI infrastructure in the world.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AI, speed is critical to win. Speed improves user engagement, expands product capabilities, can lower operating costs, and opens new markets. It shortens iteration cycles for engineers, researchers, and professionals across industries, allowing them to be more productive. Speed unlocks new applications and new industries.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solutions are built for speed. Cerebras Inference delivers answers substantially faster than GPU-based solutions. These performance breakthroughs are the result of our core innovation: the world’s first and only commercialized wafer-scale processor.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customers include hyperscalers, foundation model labs, AI-native and digital native businesses, enterprises, and sovereign AI initiatives. Our customers use Cerebras solutions to run applications that demand speed, scale, and intelligence. This work includes training and serving large frontier models with near-instant responses, processing massive datasets in real time, and generating full-stack applications in a single step.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Once customers adopt fast inference, user expectations for interactivity rise, and engineering teams shift from latency optimizations to other work, making it difficult to return to slower inference.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deliver our solutions to customers in several different ways. Organizations that require full data and infrastructure control can purchase Cerebras AI supercomputers for on-premises deployments. Customers seeking cloud flexibility can access Cerebras compute through consumption-based models on Cerebras Cloud or through partner clouds. For example, our high-speed inference services are available through partners, including AWS Marketplace, Microsoft Marketplace, IBM watsonx Model Gateway, Vercel AI Gateway, OpenRouter, and Hugging Face, enabling seamless adoption within existing workflows. Beyond providing compute infrastructure, we provide AI services to our customers to co-develop solutions to address their most complex challenges, from training state-of-the-art models to optimizing deployments for each application’s needs, and maintaining and operating their on-premises hardware.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OpenAI Collaboration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2025, we entered into a master relationship agreement (the “MRA”) with OpenAI OpCo, LLC (“OpenAI”), under which OpenAI committed to purchase 750MW of AI inference compute capacity and related services, with deployment expected in tranches during 2026 through 2028. OpenAI also has the option to purchase an additional 1.25GW of capacity for deployment by the end of 2030. In the first quarter of 2026, we began recognizing revenue from the arrangement, and the initial tranche of the warrant issued to OpenAI vested upon the funding of a working capital loan of approximately $1.0 billion (the “Working Capital Loan”) in January 2026. Refer to Note 3 - Revenue, Note 10 - Debt, and Note 12 - Common Stock to our unaudited condensed consolidated financial statements for additional information regarding the OpenAI collaboration, including the revenue arrangement, Working Capital Loan, and warrant, respectively. The Company has to date repaid a portion of the balance using non-cash service credits and expects to continue to repay the balance using non-cash service credits.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Initial Public Offering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May 13, 2026, our registration statement on Form S-1 (File No. 333-295145) related to the IPO was declared effective by the SEC, and our Class A common stock began trading on the Nasdaq Global Select Market on May 14, 2026. The IPO was completed on May 15, 2026. For additional information, see Note 2 - Basis of Presentation and Summary of Significant Accounting Policies to our unaudited condensed consolidated financial statements included in Part I, Item 1 of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AWS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2026, we entered into a global hardware leasing agreement with Amazon Web Services (“AWS”) to collaborate on the development and deployment of a joint compute solution in AWS data centers, together with related software and support services. As of June 30, 2026, the applicable lease commencement conditions had not been satisfied. Accordingly, the leases had not commenced, and we had not recognized revenue under the arrangement. In connection with the arrangement, we also issued a warrant to AWS. Refer to Note 12 - Common Stock to our unaudited condensed consolidated financial statements for additional information regarding the warrant issued in connection with the AWS collaboration.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primarily from hardware solutions and cloud and other services. Hardware solutions consist of sales of our AI systems and related equipment for on-premises use. Cloud and other services include our Dedicated Capacity and On-Demand cloud offerings, support and management services, and AI modeling services. Cloud and other services revenue also includes pass-through amounts for data center set-up and operation costs that we incur and bill to certain specific customers under custom arrangements with those customers. These pass-through revenues are not part of our core technology or service offerings. </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Hardware Solutions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Hardware revenue consists of sales of our AI systems and other equipment that can be used for both training and inference on-premises. We recognize revenue from sales of AI systems when control of the goods transfers to the customer, which generally occurs upon shipment or delivery, depending on shipping terms or upon meeting the contractual acceptance terms. Beginning in the first quarter of 2026, we began recognizing amortization of customer warrant assets as a reduction in revenue. Refer to Note 12 - Common Stock for additional information on common stock warrants issued to customers. This non-cash reduction in revenue negatively impacts sequential revenue growth trends in the near term.</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Cloud and Other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Customers procure cloud capacity from us through two primary models: Dedicated Capacity and On-Demand. Dedicated Capacity contracts are generally structured as take-or-pay commitments, under which customers pay for dedicated compute capacity irrespective of utilization. We recognize revenue from sales of these cloud-based computing services, including hosted inference, over the service term, as the customer benefits from our services throughout the contract period. Beginning in the first quarter of 2026, we began recognizing revenue for pass-through data center costs due to a customer agreement. Also beginning in the first quarter of 2026, we began amortization of customer warrant assets as a reduction in revenue. Refer to Note 12 - Common Stock for additional information on warrants issued to customers. This non-cash reduction in revenue negatively impacts sequential revenue growth trends in the near term.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On-Demand model includes a consumption-based “pay-as-you-go” approach for inference, allowing customers to either pay for tokens as they consume them or pre-purchase token bundles for fixed amounts that are drawn down over time as the tokens are consumed, as well as for training workloads that run for contracted periods of time. The On-Demand model allows customers to scale elastically and many customers have begun with on-demand usage and transitioned to dedicated capacity as their workloads expand.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services and support revenue primarily through software support agreements that range from one to five years, as well as offering a comprehensive suite of services to manage and operate Cerebras supercomputer clusters located in our customers’ data centers. Such revenue is recognized ratably over time as the services are provided.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generate revenue from custom AI modeling services over time as services are provided or at a point-in-time upon completion and acceptance by the customer of contract deliverables, depending on the terms of the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of the MRA with OpenAI for the delivery of the Committed Capacity, we expect our cloud and other services revenue to comprise a significantly higher percentage of total revenue in future periods. The mix of hardware and cloud and other services revenue may vary from period to period based on OpenAI’s deployment options and the manner in which they elect to have the Committed Capacity, and any Additional Capacity, delivered by us. In the near term, we expect pass-through revenue to also increase significantly as initial Committed Capacity will be deployed in our cloud. This may vary over the longer term based on the deployment options elected for future Committed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Hardware Cost of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revenue for hardware consists primarily of the cost of materials, such as wafers processed by third-party foundries, costs associated with packaging, assembly, shipping, logistics, quality assurance, warranty cost, cost of personnel, including salaries, stock-based compensation, and employee benefits, write-down of inventories, and facilities expenses.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Cloud and Other Services Cost of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revenue for cloud-based and other support services revenue primarily consists of data center costs, depreciation or rental of equipment, cost of personnel, including salaries, stock-based compensation, and employee benefits, and facilities expenses. We expect to incur other start-up costs related to expediting the availability of cloud capacity to fulfill the significant increase in near-term demand. We also began recognizing pass-through data center costs due to our MRA with OpenAI and expect these costs to grow as we deliver more cloud capacity under the agreement.</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Gross profit represents revenue less cost of revenue. Gross margin is gross profit expressed as a percentage of revenue. Our gross profit has been, and we expect will continue to be, influenced by several factors, including sales volume and pricing of our products and services, mix of revenue between hardware and cloud and other services, changes in inventory costs, including wafer yield, contract manufacturing and supplier pricing, data center costs, repair and warranty costs, cost of logistics, and personnel costs.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overall gross profit will increase in absolute dollars in the near term, primarily due to higher gross profit from Cloud and other services as revenue increases in connection with the continued ramp-up of dedicated cloud capacity deployments.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gross margin to be significantly lower in the near term compared to recent prior periods and to fluctuate from period to period. These fluctuations are primarily driven by the amortization of customer warrant assets, which will reduce reported revenue in future periods. Gross margin is also expected to be adversely impacted by pass-through data center costs recorded in both revenue and cost of revenue, as well as start-up costs incurred to expedite cloud capacity to meet increased near-term demand. Because we began amortization of customer warrant assets in the first quarter of 2026, future quarterly revenue growth rates may decline from historical trends.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primarily consist of costs incurred in performing research and development activities and include salaries, stock-based compensation, employee benefits, tape-out costs, which include layout services, mask sets, prototype components, system qualification and testing incurred before releasing new system designs into production, shipping, data center costs, depreciation and amortization, professional services fees, cloud computing, artificial intelligence tooling costs, and facilities expenses. We expense research and development costs as incurred.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expense software development costs, including costs to develop the software component of hardware to be sold, leased, or marketed to external users, before technological feasibility is reached. Technological feasibility is typically reached shortly before the release of such products.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research and development expenses to increase in absolute dollar terms as we continue to build new innovations with our wafer-scale technology and to remain competitive in the dynamic AI market. We expect to have significantly higher stock-based compensation expense related to equity awards, including the Executive Grants for our CTO discussed in Note 13 - Stock-Based Compensation, for which the liquidity-based vesting condition was satisfied in connection with the IPO on May 13, 2026. The Company began recognizing the stock-based compensation expense for these awards in the second quarter of 2026.</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Sales and Marketing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primarily consist of personnel costs, including salaries, commissions, stock-based compensation, employee benefits, public relations costs, tradeshow and other sales event costs, advertising, travel and entertainment costs, costs to provide prospective customers with demonstrations or trials of Cerebras Cloud, and facilities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sales and marketing expenses to increase in absolute dollar terms as we grow our customer base and brand. We expect to have higher stock-based compensation expense related to equity awards for which the liquidity-based vesting condition was satisfied in connection with the IPO.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personnel costs, including salaries, stock-based compensation, employee benefits and bonuses related to corporate, finance, legal, information technology and human resource functions, professional services fees, audit and compliance expenses, software subscription costs, travel and related costs, insurance costs, depreciation and amortization, allocation of facilities and other general corporate expenses. We expect to incur additional expenses as a result of operating as a public company, including expenses to comply with the rules and regulations applicable to companies listed on a national securities exchange, expenses related to auditing, compliance, and reporting obligations pursuant to the rules and regulations of the SEC, as well as higher expenses for general and director and officer insurance, investor relations, and professional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general and administrative expenses to increase in absolute dollar terms as we grow the business and have more employees around the world, and incur additional expenses to operate as a public company, including expenses to comply with rules and regulations applicable to companies listed on a securities exchange, expenses related to compliance and reporting obligations in various jurisdictions, and professional services. We expect to have significantly higher stock-based compensation expense related to equity awards, including the Executive Grants for our CEO as discussed in Note 13 - Stock-Based Compensation, for which the liquidity-based vesting condition was satisfied in connection with the IPO on May 13, 2026. The Company began recognizing the stock-based compensation expense for these awards in the second quarter of 2026.</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net consists primarily of interest income, dividend income, and interest expense on the Working Capital Loan. </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tax expense consists of U.S. federal and state income taxes and income taxes in certain foreign jurisdictions in which we conduct business. We maintain a full valuation allowance on our federal and state deferred tax assets as we have concluded that it is more likely than not that the deferred tax assets will not be realized. Our effective tax rate is affected by tax rates in foreign jurisdictions and the relative amounts of income we earn in those jurisdictions, as well as non-deductible expenses, such as stock-based compensation, and changes in our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selected consolidated statements of operations data for each of the periods indicated: </w:t>
      </w:r>
    </w:p>
    <w:tbl>
      <w:tblPr>
        <w:tblW w:w="8460" w:type="dxa"/>
        <w:jc w:val="left"/>
        <w:tblInd w:w="0" w:type="dxa"/>
        <w:tblLayout w:type="fixed"/>
        <w:tblCellMar>
          <w:top w:w="28" w:type="dxa"/>
          <w:left w:w="28" w:type="dxa"/>
          <w:bottom w:w="28" w:type="dxa"/>
          <w:right w:w="28" w:type="dxa"/>
        </w:tblCellMar>
      </w:tblPr>
      <w:tblGrid>
        <w:gridCol w:w="976"/>
        <w:gridCol w:w="861"/>
        <w:gridCol w:w="863"/>
        <w:gridCol w:w="211"/>
        <w:gridCol w:w="901"/>
        <w:gridCol w:w="109"/>
        <w:gridCol w:w="109"/>
        <w:gridCol w:w="109"/>
        <w:gridCol w:w="109"/>
        <w:gridCol w:w="211"/>
        <w:gridCol w:w="826"/>
        <w:gridCol w:w="109"/>
        <w:gridCol w:w="109"/>
        <w:gridCol w:w="109"/>
        <w:gridCol w:w="109"/>
        <w:gridCol w:w="211"/>
        <w:gridCol w:w="901"/>
        <w:gridCol w:w="109"/>
        <w:gridCol w:w="109"/>
        <w:gridCol w:w="109"/>
        <w:gridCol w:w="109"/>
        <w:gridCol w:w="211"/>
        <w:gridCol w:w="826"/>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Cloud and other services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Cloud and other services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stock-based compensation expense as follows:</w:t>
      </w:r>
    </w:p>
    <w:tbl>
      <w:tblPr>
        <w:tblW w:w="8955" w:type="dxa"/>
        <w:jc w:val="left"/>
        <w:tblInd w:w="0" w:type="dxa"/>
        <w:tblLayout w:type="fixed"/>
        <w:tblCellMar>
          <w:top w:w="28" w:type="dxa"/>
          <w:left w:w="28" w:type="dxa"/>
          <w:bottom w:w="28" w:type="dxa"/>
          <w:right w:w="28" w:type="dxa"/>
        </w:tblCellMar>
      </w:tblPr>
      <w:tblGrid>
        <w:gridCol w:w="1249"/>
        <w:gridCol w:w="1095"/>
        <w:gridCol w:w="1105"/>
        <w:gridCol w:w="220"/>
        <w:gridCol w:w="862"/>
        <w:gridCol w:w="113"/>
        <w:gridCol w:w="113"/>
        <w:gridCol w:w="113"/>
        <w:gridCol w:w="113"/>
        <w:gridCol w:w="220"/>
        <w:gridCol w:w="753"/>
        <w:gridCol w:w="113"/>
        <w:gridCol w:w="109"/>
        <w:gridCol w:w="109"/>
        <w:gridCol w:w="109"/>
        <w:gridCol w:w="211"/>
        <w:gridCol w:w="826"/>
        <w:gridCol w:w="109"/>
        <w:gridCol w:w="109"/>
        <w:gridCol w:w="109"/>
        <w:gridCol w:w="109"/>
        <w:gridCol w:w="211"/>
        <w:gridCol w:w="72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377,008 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$2.0 million and $5.9 million for the three and six months ended June 30, 2026, respectively, and $1.5 million and $3.0 million for the three and six months ended June 30, 2025, respectively, related to secondary transactions in each period. Refer to Note 13 - Stock-Based Compensation to our unaudited condensed consolidated financial statements included elsewhere in this Quarterly Report on Form 10-Q for further discussion.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our 2016 Equity Incentive Plan (as amended, the “2016 Plan”), our restricted stock units (“RSUs”) vest upon the satisfaction of both service-based and liquidity-based vesting conditions. The service-based vesting condition for these awards is generally satisfied by rendering continuous service through the applicable vesting period, which is generally four years. The liquidity-based vesting condition was satisfied in connection with the IPO.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such RSUs, we recognize stock-based compensation expense using the accelerated attribution method over the requisite service period if it is probable that the performance conditions will be achieved. We recognized $273.6 million of stock-based compensation expense during the six months ended June 30, 2026, associated with vested RSUs as a result of the satisfaction of the service-based and liquidity-based vesting conditions, one of which was satisfied in connection with the IPO. We will record the remaining stock-based compensation expense related to RSUs using the accelerated attribution method over the remaining requisite service period now that the liquidity-based vesting condition is satisfied.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consolidated statements of operations data expressed as a percentage of revenue for each of the periods indicated:</w:t>
      </w:r>
    </w:p>
    <w:tbl>
      <w:tblPr>
        <w:tblW w:w="9098" w:type="dxa"/>
        <w:jc w:val="left"/>
        <w:tblInd w:w="0" w:type="dxa"/>
        <w:tblLayout w:type="fixed"/>
        <w:tblCellMar>
          <w:top w:w="28" w:type="dxa"/>
          <w:left w:w="28" w:type="dxa"/>
          <w:bottom w:w="28" w:type="dxa"/>
          <w:right w:w="28" w:type="dxa"/>
        </w:tblCellMar>
      </w:tblPr>
      <w:tblGrid>
        <w:gridCol w:w="975"/>
        <w:gridCol w:w="861"/>
        <w:gridCol w:w="864"/>
        <w:gridCol w:w="392"/>
        <w:gridCol w:w="298"/>
        <w:gridCol w:w="636"/>
        <w:gridCol w:w="209"/>
        <w:gridCol w:w="209"/>
        <w:gridCol w:w="209"/>
        <w:gridCol w:w="350"/>
        <w:gridCol w:w="266"/>
        <w:gridCol w:w="521"/>
        <w:gridCol w:w="109"/>
        <w:gridCol w:w="109"/>
        <w:gridCol w:w="109"/>
        <w:gridCol w:w="392"/>
        <w:gridCol w:w="298"/>
        <w:gridCol w:w="570"/>
        <w:gridCol w:w="187"/>
        <w:gridCol w:w="187"/>
        <w:gridCol w:w="187"/>
        <w:gridCol w:w="350"/>
        <w:gridCol w:w="266"/>
        <w:gridCol w:w="544"/>
      </w:tblGrid>
      <w:tr>
        <w:trPr/>
        <w:tc>
          <w:tcPr>
            <w:tcW w:w="97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8"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(as a percentage of revenue)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Cloud and other services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Cloud and other services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Comparison of the Three and Six Months Ended June 30, 2026 and 2025</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Revenue</w:t>
      </w:r>
    </w:p>
    <w:tbl>
      <w:tblPr>
        <w:tblW w:w="11808" w:type="dxa"/>
        <w:jc w:val="left"/>
        <w:tblInd w:w="0" w:type="dxa"/>
        <w:tblLayout w:type="fixed"/>
        <w:tblCellMar>
          <w:top w:w="28" w:type="dxa"/>
          <w:left w:w="28" w:type="dxa"/>
          <w:bottom w:w="28" w:type="dxa"/>
          <w:right w:w="28" w:type="dxa"/>
        </w:tblCellMar>
      </w:tblPr>
      <w:tblGrid>
        <w:gridCol w:w="255"/>
        <w:gridCol w:w="225"/>
        <w:gridCol w:w="226"/>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20"/>
        <w:gridCol w:w="220"/>
        <w:gridCol w:w="55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211"/>
        <w:gridCol w:w="61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Cloud and other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revenue for the three months ended June 30, 2026 increased by $76.8 million, or 74%, compared to the same period in 2025. Revenue for the six months ended June 30, 2026 increased by $170.7 million, or 84%, compared to the same period in 2025. The increases were primarily attributable to higher customer consumption, the continued ramp of dedicated cloud capacity and related services, and higher revenue under existing customer arrangements, partially offset by amortization of customer warrant assets as a reduction of revenue.</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Hardware revenue decreased by $16.2 million, or 23%, for the three months ended June 30, 2026, compared to the same period in 2025. The decrease was primarily attributable to $28.0 million in amortization of customer warrant assets as a reduction of revenue. This was partially offset by $11.9 million of higher hardware revenue under existing customer arrangements. </w:t>
      </w:r>
      <w:r>
        <w:rPr>
          <w:rFonts w:ascii="Times New Roman;serif" w:hAnsi="Times New Roman;serif"/>
          <w:b w:val="false"/>
          <w:color w:val="000000"/>
          <w:sz w:val="20"/>
        </w:rPr>
        <w:t>For the six months ended June 30, 2026, hardware revenue increased by $24.7 million, or by 18%, compared to the same period in 2025</w:t>
      </w:r>
      <w:r>
        <w:rPr>
          <w:rFonts w:ascii="Times New Roman;serif" w:hAnsi="Times New Roman;serif"/>
          <w:b w:val="false"/>
          <w:color w:val="000000"/>
          <w:sz w:val="20"/>
          <w:shd w:fill="FFFFFF" w:val="clear"/>
        </w:rPr>
        <w:t xml:space="preserve">. The increase was primarily attributable to $53.8 million of higher hardware revenue under existing customer arrangements, partially offset by </w:t>
      </w:r>
      <w:r>
        <w:rPr>
          <w:rFonts w:ascii="Times New Roman;serif" w:hAnsi="Times New Roman;serif"/>
          <w:b w:val="false"/>
          <w:color w:val="000000"/>
          <w:sz w:val="20"/>
        </w:rPr>
        <w:t>$29.0 million</w:t>
      </w:r>
      <w:r>
        <w:rPr>
          <w:color w:val="000000"/>
          <w:shd w:fill="FFFFFF" w:val="clear"/>
        </w:rPr>
        <w:t xml:space="preserve"> </w:t>
      </w:r>
      <w:r>
        <w:rPr>
          <w:rFonts w:ascii="Times New Roman;serif" w:hAnsi="Times New Roman;serif"/>
          <w:b w:val="false"/>
          <w:color w:val="000000"/>
          <w:sz w:val="20"/>
          <w:shd w:fill="FFFFFF" w:val="clear"/>
        </w:rPr>
        <w:t>in amortization of customer warrant assets as a reduction of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Cloud and other services revenue increased by $93.0 million, or 281%, for the three months ended June 30, 2026, compared to the same period in 2025, primarily attributable to $109.8 million from higher cloud services and related revenue from increased customer consumption, the commencement and ramp of services under customer arrangements, and dedicated cloud capacity deployments, partially offset by $16.2 million in amortization of customer warrant assets as a reduction of revenue. Cloud and other services revenue increased by $145.9 million, or 232%, for the six months ended June 30, 2026, compared to the same period in 2025, primarily attributable to $163.6 million from higher cloud services and related revenue from increased customer consumption, the commencement and ramp of services under customer arrangements, and dedicated cloud capacity deployments, partially offset by $17.3 million in amortization of customer warrant assets as a reduction of revenue.</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Cost of Revenue and Gross Margin</w:t>
      </w:r>
    </w:p>
    <w:tbl>
      <w:tblPr>
        <w:tblW w:w="11938" w:type="dxa"/>
        <w:jc w:val="left"/>
        <w:tblInd w:w="0" w:type="dxa"/>
        <w:tblLayout w:type="fixed"/>
        <w:tblCellMar>
          <w:top w:w="28" w:type="dxa"/>
          <w:left w:w="28" w:type="dxa"/>
          <w:bottom w:w="28" w:type="dxa"/>
          <w:right w:w="28" w:type="dxa"/>
        </w:tblCellMar>
      </w:tblPr>
      <w:tblGrid>
        <w:gridCol w:w="321"/>
        <w:gridCol w:w="282"/>
        <w:gridCol w:w="283"/>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55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61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2" w:type="dxa"/>
            <w:gridSpan w:val="4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and other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2216" w:type="dxa"/>
        <w:jc w:val="left"/>
        <w:tblInd w:w="0" w:type="dxa"/>
        <w:tblLayout w:type="fixed"/>
        <w:tblCellMar>
          <w:top w:w="28" w:type="dxa"/>
          <w:left w:w="28" w:type="dxa"/>
          <w:bottom w:w="28" w:type="dxa"/>
          <w:right w:w="28" w:type="dxa"/>
        </w:tblCellMar>
      </w:tblPr>
      <w:tblGrid>
        <w:gridCol w:w="321"/>
        <w:gridCol w:w="282"/>
        <w:gridCol w:w="283"/>
        <w:gridCol w:w="211"/>
        <w:gridCol w:w="721"/>
        <w:gridCol w:w="271"/>
        <w:gridCol w:w="109"/>
        <w:gridCol w:w="109"/>
        <w:gridCol w:w="109"/>
        <w:gridCol w:w="211"/>
        <w:gridCol w:w="721"/>
        <w:gridCol w:w="271"/>
        <w:gridCol w:w="109"/>
        <w:gridCol w:w="109"/>
        <w:gridCol w:w="109"/>
        <w:gridCol w:w="211"/>
        <w:gridCol w:w="736"/>
        <w:gridCol w:w="109"/>
        <w:gridCol w:w="109"/>
        <w:gridCol w:w="109"/>
        <w:gridCol w:w="109"/>
        <w:gridCol w:w="220"/>
        <w:gridCol w:w="220"/>
        <w:gridCol w:w="551"/>
        <w:gridCol w:w="109"/>
        <w:gridCol w:w="109"/>
        <w:gridCol w:w="109"/>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211"/>
        <w:gridCol w:w="211"/>
        <w:gridCol w:w="61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0" w:type="dxa"/>
            <w:gridSpan w:val="4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and other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Hardware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and other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cost of revenue increased by $83.3 million, or 117%, for the three months ended June 30, 2026, and $132.7 million, or 103%, for the six months ended June 30, 2026, compared to the same periods in 2025. The increases reflected higher costs to support revenue growth and included $15.8 million of IPO-related stock-based compensation expense and related tax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Hardware gross margin decreased to 2% for the three months ended June 30, 2026, compared to 34% for the same period in 2025 and to 28% for the six months ended June 30, 2026, from 32% in the corresponding period in 2025. The decreases were primarily attributable to the amortization of customer warrant assets as a reduction of revenue and IPO-related stock-based compensation expense and related tax costs. Excluding these items, which are not part of our core business, hardware gross margin improved by 5 percentage points and by 8 percentage points year over year for the three and six months ended June 30, 2026, respectively, reflecting lower material costs and continued improvement in manufacturing efficiency.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Cloud and other services gross margin decreased to 20% for the three months ended June 30, 2026 compared to 26% for the same period in 2025 and to 31% for the six months ended June 30, 2026 compared to 46% in the corresponding period in 2025. The decreases were primarily attributable to the amortization of customer warrant assets as a reduction of revenue and IPO-related stock-based compensation expense and related tax costs. Excluding these items, which are not part of our core business, cloud and other services gross margin improved by 16 percentage points and was flat year over year for the three and six months ended June 30, 2026, respectively. The improvement in gross margin for the three months ended June 30, 2026, was due to higher pricing and greater utilization of deployed capacity.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gross profit decreased by $6.5 million for the three months ended June 30, 2026, and increased by $38.0 million for the six months ended June 30, 2026, compared to the same periods in 2025. Total gross margin decreased to 14% for the three months ended June 30, 2026 from 31% for the same period in 2025, and decreased to 30% for the six months ended June 30, 2026, from 36% in the corresponding period in 2025. Excluding the effects of IPO-related stock-based compensation expense and related tax costs, pass-through revenue and costs, and amortization of customer warrant assets as a reduction of revenue, which are not part of our core business, total gross margin improved 9 percentage points and 7 percentage points, year over year, for the three and six months ended June 30, 2026, respectively due to a higher mix of cloud and inference revenue and improved hardware and cloud margins discussed above.</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Research and Development</w:t>
      </w:r>
    </w:p>
    <w:tbl>
      <w:tblPr>
        <w:tblW w:w="12811" w:type="dxa"/>
        <w:jc w:val="left"/>
        <w:tblInd w:w="0" w:type="dxa"/>
        <w:tblLayout w:type="fixed"/>
        <w:tblCellMar>
          <w:top w:w="28" w:type="dxa"/>
          <w:left w:w="28" w:type="dxa"/>
          <w:bottom w:w="28" w:type="dxa"/>
          <w:right w:w="28" w:type="dxa"/>
        </w:tblCellMar>
      </w:tblPr>
      <w:tblGrid>
        <w:gridCol w:w="364"/>
        <w:gridCol w:w="320"/>
        <w:gridCol w:w="322"/>
        <w:gridCol w:w="211"/>
        <w:gridCol w:w="826"/>
        <w:gridCol w:w="271"/>
        <w:gridCol w:w="109"/>
        <w:gridCol w:w="109"/>
        <w:gridCol w:w="109"/>
        <w:gridCol w:w="211"/>
        <w:gridCol w:w="721"/>
        <w:gridCol w:w="271"/>
        <w:gridCol w:w="109"/>
        <w:gridCol w:w="109"/>
        <w:gridCol w:w="109"/>
        <w:gridCol w:w="211"/>
        <w:gridCol w:w="826"/>
        <w:gridCol w:w="109"/>
        <w:gridCol w:w="109"/>
        <w:gridCol w:w="109"/>
        <w:gridCol w:w="109"/>
        <w:gridCol w:w="233"/>
        <w:gridCol w:w="233"/>
        <w:gridCol w:w="551"/>
        <w:gridCol w:w="109"/>
        <w:gridCol w:w="109"/>
        <w:gridCol w:w="109"/>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233"/>
        <w:gridCol w:w="233"/>
        <w:gridCol w:w="614"/>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20"/>
        </w:rPr>
        <w:t>Research and development expenses increased by $259.4 million, or 427%, for the three months ended June 30, 2026, and $282.1 million, or 249%, for the six months ended June 30, 2026, compared to the same periods in 2025.</w:t>
      </w:r>
      <w:r>
        <w:rPr>
          <w:color w:val="000000"/>
          <w:shd w:fill="FFFFFF" w:val="clear"/>
        </w:rPr>
        <w:t xml:space="preserve"> </w:t>
      </w:r>
      <w:r>
        <w:rPr>
          <w:rFonts w:ascii="Times New Roman;serif" w:hAnsi="Times New Roman;serif"/>
          <w:b w:val="false"/>
          <w:color w:val="000000"/>
          <w:sz w:val="20"/>
          <w:shd w:fill="FFFFFF" w:val="clear"/>
        </w:rPr>
        <w:t xml:space="preserve">The increases were primarily attributable to $228.0 million of </w:t>
      </w:r>
      <w:r>
        <w:rPr>
          <w:rFonts w:ascii="Times New Roman;serif" w:hAnsi="Times New Roman;serif"/>
          <w:b w:val="false"/>
          <w:color w:val="000000"/>
          <w:sz w:val="20"/>
        </w:rPr>
        <w:t>IPO-related stock-based compensation and related tax costs in each period</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as well as continued investment in headcount, engineering, product and software development initiatives, including next-generation product programs and prototype activities. </w:t>
      </w:r>
    </w:p>
    <w:p>
      <w:pPr>
        <w:pStyle w:val="TextBody"/>
        <w:bidi w:val="0"/>
        <w:spacing w:lineRule="auto" w:line="288" w:before="12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Sales and Marketing</w:t>
      </w:r>
    </w:p>
    <w:tbl>
      <w:tblPr>
        <w:tblW w:w="12211" w:type="dxa"/>
        <w:jc w:val="left"/>
        <w:tblInd w:w="0" w:type="dxa"/>
        <w:tblLayout w:type="fixed"/>
        <w:tblCellMar>
          <w:top w:w="28" w:type="dxa"/>
          <w:left w:w="28" w:type="dxa"/>
          <w:bottom w:w="28" w:type="dxa"/>
          <w:right w:w="28" w:type="dxa"/>
        </w:tblCellMar>
      </w:tblPr>
      <w:tblGrid>
        <w:gridCol w:w="337"/>
        <w:gridCol w:w="244"/>
        <w:gridCol w:w="245"/>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33"/>
        <w:gridCol w:w="233"/>
        <w:gridCol w:w="551"/>
        <w:gridCol w:w="109"/>
        <w:gridCol w:w="109"/>
        <w:gridCol w:w="109"/>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233"/>
        <w:gridCol w:w="233"/>
        <w:gridCol w:w="614"/>
      </w:tblGrid>
      <w:tr>
        <w:trPr/>
        <w:tc>
          <w:tcPr>
            <w:tcW w:w="3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20"/>
        </w:rPr>
        <w:t xml:space="preserve">Sales and marketing expenses increased by $68.7 million, or 377%, for the three months ended June 30, 2026, and </w:t>
      </w:r>
      <w:r>
        <w:rPr>
          <w:rFonts w:ascii="Times New Roman;serif" w:hAnsi="Times New Roman;serif"/>
          <w:b w:val="false"/>
          <w:color w:val="000000"/>
          <w:sz w:val="20"/>
          <w:shd w:fill="FFFFFF" w:val="clear"/>
        </w:rPr>
        <w:t xml:space="preserve">$73.1 million, or 256%, for the six months ended June 30, 2026, </w:t>
      </w:r>
      <w:r>
        <w:rPr>
          <w:rFonts w:ascii="Times New Roman;serif" w:hAnsi="Times New Roman;serif"/>
          <w:b w:val="false"/>
          <w:color w:val="000000"/>
          <w:sz w:val="20"/>
        </w:rPr>
        <w:t>compared to the same periods in 2025</w:t>
      </w:r>
      <w:r>
        <w:rPr>
          <w:rFonts w:ascii="Times New Roman;serif" w:hAnsi="Times New Roman;serif"/>
          <w:b w:val="false"/>
          <w:color w:val="000000"/>
          <w:sz w:val="20"/>
          <w:shd w:fill="FFFFFF" w:val="clear"/>
        </w:rPr>
        <w:t xml:space="preserve">. The increases were primarily attributable to $75.0 million and </w:t>
      </w:r>
      <w:r>
        <w:rPr>
          <w:rFonts w:ascii="Times New Roman;serif" w:hAnsi="Times New Roman;serif"/>
          <w:b w:val="false"/>
          <w:color w:val="000000"/>
          <w:sz w:val="20"/>
        </w:rPr>
        <w:t xml:space="preserve">$80.0 million, respectively, </w:t>
      </w:r>
      <w:r>
        <w:rPr>
          <w:rFonts w:ascii="Times New Roman;serif" w:hAnsi="Times New Roman;serif"/>
          <w:b w:val="false"/>
          <w:color w:val="000000"/>
          <w:sz w:val="20"/>
          <w:shd w:fill="FFFFFF" w:val="clear"/>
        </w:rPr>
        <w:t xml:space="preserve">of IPO-related </w:t>
      </w:r>
      <w:r>
        <w:rPr>
          <w:rFonts w:ascii="Times New Roman;serif" w:hAnsi="Times New Roman;serif"/>
          <w:b w:val="false"/>
          <w:color w:val="000000"/>
          <w:sz w:val="20"/>
        </w:rPr>
        <w:t xml:space="preserve">stock-based compensation and related tax </w:t>
      </w:r>
      <w:r>
        <w:rPr>
          <w:rFonts w:ascii="Times New Roman;serif" w:hAnsi="Times New Roman;serif"/>
          <w:b w:val="false"/>
          <w:color w:val="000000"/>
          <w:sz w:val="20"/>
          <w:shd w:fill="FFFFFF" w:val="clear"/>
        </w:rPr>
        <w:t xml:space="preserve">costs, </w:t>
      </w:r>
      <w:r>
        <w:rPr>
          <w:rFonts w:ascii="Times New Roman;serif" w:hAnsi="Times New Roman;serif"/>
          <w:b w:val="false"/>
          <w:color w:val="000000"/>
          <w:sz w:val="20"/>
        </w:rPr>
        <w:t>partially offset by lower data center cloud spend on trial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12496" w:type="dxa"/>
        <w:jc w:val="left"/>
        <w:tblInd w:w="0" w:type="dxa"/>
        <w:tblLayout w:type="fixed"/>
        <w:tblCellMar>
          <w:top w:w="28" w:type="dxa"/>
          <w:left w:w="28" w:type="dxa"/>
          <w:bottom w:w="28" w:type="dxa"/>
          <w:right w:w="28" w:type="dxa"/>
        </w:tblCellMar>
      </w:tblPr>
      <w:tblGrid>
        <w:gridCol w:w="402"/>
        <w:gridCol w:w="354"/>
        <w:gridCol w:w="355"/>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33"/>
        <w:gridCol w:w="233"/>
        <w:gridCol w:w="551"/>
        <w:gridCol w:w="109"/>
        <w:gridCol w:w="109"/>
        <w:gridCol w:w="109"/>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233"/>
        <w:gridCol w:w="233"/>
        <w:gridCol w:w="614"/>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20"/>
        </w:rPr>
        <w:t xml:space="preserve">General and administrative expenses increased by $85.4 million, or 830%, for the three months ended June 30, 2026, and </w:t>
      </w:r>
      <w:r>
        <w:rPr>
          <w:rFonts w:ascii="Times New Roman;serif" w:hAnsi="Times New Roman;serif"/>
          <w:b w:val="false"/>
          <w:color w:val="000000"/>
          <w:sz w:val="20"/>
          <w:shd w:fill="FFFFFF" w:val="clear"/>
        </w:rPr>
        <w:t xml:space="preserve">$89.4 million, or 517%, for the six months ended June 30, 2026, </w:t>
      </w:r>
      <w:r>
        <w:rPr>
          <w:rFonts w:ascii="Times New Roman;serif" w:hAnsi="Times New Roman;serif"/>
          <w:b w:val="false"/>
          <w:color w:val="000000"/>
          <w:sz w:val="20"/>
        </w:rPr>
        <w:t>compared to the same periods in 2025</w:t>
      </w:r>
      <w:r>
        <w:rPr>
          <w:rFonts w:ascii="Times New Roman;serif" w:hAnsi="Times New Roman;serif"/>
          <w:b w:val="false"/>
          <w:color w:val="000000"/>
          <w:sz w:val="20"/>
          <w:shd w:fill="FFFFFF" w:val="clear"/>
        </w:rPr>
        <w:t xml:space="preserve">. The increases were primarily attributable to $65.0 million of IPO-related </w:t>
      </w:r>
      <w:r>
        <w:rPr>
          <w:rFonts w:ascii="Times New Roman;serif" w:hAnsi="Times New Roman;serif"/>
          <w:b w:val="false"/>
          <w:color w:val="000000"/>
          <w:sz w:val="20"/>
        </w:rPr>
        <w:t xml:space="preserve">stock-based compensation and related tax </w:t>
      </w:r>
      <w:r>
        <w:rPr>
          <w:rFonts w:ascii="Times New Roman;serif" w:hAnsi="Times New Roman;serif"/>
          <w:b w:val="false"/>
          <w:color w:val="000000"/>
          <w:sz w:val="20"/>
          <w:shd w:fill="FFFFFF" w:val="clear"/>
        </w:rPr>
        <w:t xml:space="preserve">costs in each period, </w:t>
      </w:r>
      <w:r>
        <w:rPr>
          <w:rFonts w:ascii="Times New Roman;serif" w:hAnsi="Times New Roman;serif"/>
          <w:b w:val="false"/>
          <w:color w:val="000000"/>
          <w:sz w:val="20"/>
        </w:rPr>
        <w:t>as well as higher legal and other professional services, personnel-related costs, insurance costs and consulting fees to support public company operations</w:t>
      </w:r>
      <w:r>
        <w:rPr>
          <w:rFonts w:ascii="Times New Roman;serif" w:hAnsi="Times New Roman;serif"/>
          <w:b w:val="false"/>
          <w:color w:val="000000"/>
          <w:sz w:val="20"/>
          <w:shd w:fill="FFFFFF" w:val="clear"/>
        </w:rPr>
        <w:t>.</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11598" w:type="dxa"/>
        <w:jc w:val="left"/>
        <w:tblInd w:w="0" w:type="dxa"/>
        <w:tblLayout w:type="fixed"/>
        <w:tblCellMar>
          <w:top w:w="28" w:type="dxa"/>
          <w:left w:w="28" w:type="dxa"/>
          <w:bottom w:w="28" w:type="dxa"/>
          <w:right w:w="28" w:type="dxa"/>
        </w:tblCellMar>
      </w:tblPr>
      <w:tblGrid>
        <w:gridCol w:w="212"/>
        <w:gridCol w:w="186"/>
        <w:gridCol w:w="188"/>
        <w:gridCol w:w="211"/>
        <w:gridCol w:w="721"/>
        <w:gridCol w:w="109"/>
        <w:gridCol w:w="109"/>
        <w:gridCol w:w="109"/>
        <w:gridCol w:w="109"/>
        <w:gridCol w:w="211"/>
        <w:gridCol w:w="826"/>
        <w:gridCol w:w="109"/>
        <w:gridCol w:w="109"/>
        <w:gridCol w:w="109"/>
        <w:gridCol w:w="109"/>
        <w:gridCol w:w="211"/>
        <w:gridCol w:w="841"/>
        <w:gridCol w:w="109"/>
        <w:gridCol w:w="109"/>
        <w:gridCol w:w="109"/>
        <w:gridCol w:w="109"/>
        <w:gridCol w:w="220"/>
        <w:gridCol w:w="220"/>
        <w:gridCol w:w="551"/>
        <w:gridCol w:w="109"/>
        <w:gridCol w:w="109"/>
        <w:gridCol w:w="109"/>
        <w:gridCol w:w="211"/>
        <w:gridCol w:w="721"/>
        <w:gridCol w:w="109"/>
        <w:gridCol w:w="109"/>
        <w:gridCol w:w="109"/>
        <w:gridCol w:w="109"/>
        <w:gridCol w:w="211"/>
        <w:gridCol w:w="826"/>
        <w:gridCol w:w="109"/>
        <w:gridCol w:w="109"/>
        <w:gridCol w:w="109"/>
        <w:gridCol w:w="109"/>
        <w:gridCol w:w="211"/>
        <w:gridCol w:w="841"/>
        <w:gridCol w:w="109"/>
        <w:gridCol w:w="109"/>
        <w:gridCol w:w="109"/>
        <w:gridCol w:w="109"/>
        <w:gridCol w:w="211"/>
        <w:gridCol w:w="211"/>
        <w:gridCol w:w="61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by $341.4 million, or 93%, for the three months ended June 30, 2026, and $345.1 million, or 92%, for the six months ended June 30, 2026, compared to the same periods in 2025. The decrease was primarily attributable to the non-recurring $363.3 million gain recognized in the prior-year period from the release of the forward contract liability following cancellation of the committed purchase obligation. Other decreases include $19.7 million and $38.6 million, respectively, of non-cash interest expense recognized against the Working Capital Loan and added to deferred revenue as part of the OpenAI arrangement, as further discussed in Note 10 - Debt to our condensed consolidated financial statements. The decreases were partially offset by $43.5 million and $59.7 million, respectively, from higher interest and dividend income due to higher cash, cash equivalents, and investment balances.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Income Tax Expense</w:t>
      </w:r>
    </w:p>
    <w:tbl>
      <w:tblPr>
        <w:tblW w:w="10413" w:type="dxa"/>
        <w:jc w:val="left"/>
        <w:tblInd w:w="0" w:type="dxa"/>
        <w:tblLayout w:type="fixed"/>
        <w:tblCellMar>
          <w:top w:w="28" w:type="dxa"/>
          <w:left w:w="28" w:type="dxa"/>
          <w:bottom w:w="28" w:type="dxa"/>
          <w:right w:w="28" w:type="dxa"/>
        </w:tblCellMar>
      </w:tblPr>
      <w:tblGrid>
        <w:gridCol w:w="217"/>
        <w:gridCol w:w="191"/>
        <w:gridCol w:w="193"/>
        <w:gridCol w:w="211"/>
        <w:gridCol w:w="466"/>
        <w:gridCol w:w="109"/>
        <w:gridCol w:w="109"/>
        <w:gridCol w:w="109"/>
        <w:gridCol w:w="109"/>
        <w:gridCol w:w="211"/>
        <w:gridCol w:w="616"/>
        <w:gridCol w:w="109"/>
        <w:gridCol w:w="109"/>
        <w:gridCol w:w="109"/>
        <w:gridCol w:w="109"/>
        <w:gridCol w:w="211"/>
        <w:gridCol w:w="631"/>
        <w:gridCol w:w="109"/>
        <w:gridCol w:w="109"/>
        <w:gridCol w:w="109"/>
        <w:gridCol w:w="109"/>
        <w:gridCol w:w="220"/>
        <w:gridCol w:w="220"/>
        <w:gridCol w:w="551"/>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11"/>
        <w:gridCol w:w="211"/>
        <w:gridCol w:w="61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expense decreased by $1.4 million, or 84%, for the three months ended June 30, 2026 and $1.6 million, or 47%, for the six months ended June 30, 2026, compared to the same periods in 2025. The decreases were primarily attributable to lower state tax expense resulting from tax benefits from employee stock-based compensation deductions in connection with the IPO, partially offset by higher income tax expense for international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certain non-GAAP financial measures to supplement the performance measures in our unaudited condensed consolidated financial statements, which are presented in accordance with GAAP. These non-GAAP financial measures include core gross profit, core operating loss, and core net loss. We use these non-GAAP financial measures for financial and operational decision-making and as a means to assist us in evaluating period-to-period comparisons. By excluding certain items that may not be indicative of our recurring core operating results, we believe that core gross profit, core operating loss, and core net loss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Core Gross Profit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core gross profit as gross profit presented in accordance with GAAP, adjusted to exclude pass-through revenue and related data center costs as these are not part of our core technology or service offerings. In addition, we exclude non-cash amortization of customer warrant assets, stock-based compensation expense, and employer payroll tax related to stock-based compensation from the IPO. We present core gross profit because it provides investors and other users of our financial information with additional information to evaluate the value of our hardware delivery to customers, whether through direct hardware sales or cloud services. This measure also provides an additional basis for comparing business performance across companies and periods by excluding the effects of items that may vary for reasons unrelated to core technology and service offerings that did not occur in prior periods.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reconciliation of our GAAP gross profit, the most directly comparable GAAP financial measure, to core gross profit is presented below (in thousands):</w:t>
      </w:r>
    </w:p>
    <w:tbl>
      <w:tblPr>
        <w:tblW w:w="10205" w:type="dxa"/>
        <w:jc w:val="left"/>
        <w:tblInd w:w="0" w:type="dxa"/>
        <w:tblLayout w:type="fixed"/>
        <w:tblCellMar>
          <w:top w:w="28" w:type="dxa"/>
          <w:left w:w="28" w:type="dxa"/>
          <w:bottom w:w="28" w:type="dxa"/>
          <w:right w:w="28" w:type="dxa"/>
        </w:tblCellMar>
      </w:tblPr>
      <w:tblGrid>
        <w:gridCol w:w="1835"/>
        <w:gridCol w:w="1451"/>
        <w:gridCol w:w="1471"/>
        <w:gridCol w:w="224"/>
        <w:gridCol w:w="766"/>
        <w:gridCol w:w="115"/>
        <w:gridCol w:w="115"/>
        <w:gridCol w:w="115"/>
        <w:gridCol w:w="115"/>
        <w:gridCol w:w="224"/>
        <w:gridCol w:w="766"/>
        <w:gridCol w:w="115"/>
        <w:gridCol w:w="109"/>
        <w:gridCol w:w="109"/>
        <w:gridCol w:w="109"/>
        <w:gridCol w:w="211"/>
        <w:gridCol w:w="826"/>
        <w:gridCol w:w="109"/>
        <w:gridCol w:w="109"/>
        <w:gridCol w:w="109"/>
        <w:gridCol w:w="109"/>
        <w:gridCol w:w="211"/>
        <w:gridCol w:w="721"/>
        <w:gridCol w:w="161"/>
      </w:tblGrid>
      <w:tr>
        <w:trPr/>
        <w:tc>
          <w:tcPr>
            <w:tcW w:w="1835"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Less: Pass-through revenue and related data center costs, net</w:t>
            </w:r>
            <w:r>
              <w:rPr>
                <w:rFonts w:ascii="Times New Roman;serif" w:hAnsi="Times New Roman;serif"/>
                <w:b w:val="false"/>
                <w:color w:val="000000"/>
                <w:sz w:val="13"/>
              </w:rPr>
              <w:t>(1)</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Add: Amortization of customer warrant assets</w:t>
            </w:r>
            <w:r>
              <w:rPr>
                <w:rFonts w:ascii="Times New Roman;serif" w:hAnsi="Times New Roman;serif"/>
                <w:b w:val="false"/>
                <w:color w:val="000000"/>
                <w:sz w:val="13"/>
              </w:rPr>
              <w:t>(1)</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 Stock-based compensation expense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Add: Employer payroll tax related to stock-based compensation from IPO</w:t>
            </w:r>
            <w:r>
              <w:rPr>
                <w:rFonts w:ascii="Times New Roman;serif" w:hAnsi="Times New Roman;serif"/>
                <w:b w:val="false"/>
                <w:color w:val="000000"/>
                <w:sz w:val="13"/>
              </w:rPr>
              <w:t>(2)</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gross profit</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(1)Core gross profit does not include the tax effects of the non-GAAP adjustments because such tax effects were not material during the periods presented.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(2)Employer payroll taxes related to the time-based vesting and settlement of RSUs that had previously met the time-based vesting condition and for which the liquidity-based vesting condition was satisfied in connection with our IPO.</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Core Operating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define core operating loss as loss from operations presented in accordance with GAAP, adjusted to exclude pass-through revenue and data center costs, amortization of customer warrant assets, stock-based compensation expense, and employer payroll tax related to stock-based compensation from IPO. We have presented core operating loss because we consider core operating loss to be a useful metric for investors and other users of our financial information in evaluating our overall operating performance. This metric also provides investors and other users of our financial information with an additional tool to compare business performance across companies and periods, while eliminating the effects of items that may vary for different companies for reasons unrelated to core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reconciliation of our GAAP loss from operations, the most directly comparable GAAP financial measure, to core operating loss is presented below (in thousands):</w:t>
      </w:r>
    </w:p>
    <w:tbl>
      <w:tblPr>
        <w:tblW w:w="10205" w:type="dxa"/>
        <w:jc w:val="left"/>
        <w:tblInd w:w="0" w:type="dxa"/>
        <w:tblLayout w:type="fixed"/>
        <w:tblCellMar>
          <w:top w:w="28" w:type="dxa"/>
          <w:left w:w="28" w:type="dxa"/>
          <w:bottom w:w="28" w:type="dxa"/>
          <w:right w:w="28" w:type="dxa"/>
        </w:tblCellMar>
      </w:tblPr>
      <w:tblGrid>
        <w:gridCol w:w="1716"/>
        <w:gridCol w:w="1426"/>
        <w:gridCol w:w="1438"/>
        <w:gridCol w:w="211"/>
        <w:gridCol w:w="881"/>
        <w:gridCol w:w="109"/>
        <w:gridCol w:w="109"/>
        <w:gridCol w:w="109"/>
        <w:gridCol w:w="109"/>
        <w:gridCol w:w="211"/>
        <w:gridCol w:w="776"/>
        <w:gridCol w:w="109"/>
        <w:gridCol w:w="109"/>
        <w:gridCol w:w="109"/>
        <w:gridCol w:w="109"/>
        <w:gridCol w:w="211"/>
        <w:gridCol w:w="881"/>
        <w:gridCol w:w="109"/>
        <w:gridCol w:w="109"/>
        <w:gridCol w:w="109"/>
        <w:gridCol w:w="109"/>
        <w:gridCol w:w="211"/>
        <w:gridCol w:w="776"/>
        <w:gridCol w:w="159"/>
      </w:tblGrid>
      <w:tr>
        <w:trPr/>
        <w:tc>
          <w:tcPr>
            <w:tcW w:w="17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Less: Pass-through revenue and related data center costs, net</w:t>
            </w:r>
            <w:r>
              <w:rPr>
                <w:rFonts w:ascii="Times New Roman;serif" w:hAnsi="Times New Roman;serif"/>
                <w:b w:val="false"/>
                <w:color w:val="000000"/>
                <w:sz w:val="13"/>
              </w:rPr>
              <w:t>(1)</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Add: Stock-based compensation expense</w:t>
            </w:r>
            <w:r>
              <w:rPr>
                <w:rFonts w:ascii="Times New Roman;serif" w:hAnsi="Times New Roman;serif"/>
                <w:b w:val="false"/>
                <w:color w:val="000000"/>
                <w:sz w:val="13"/>
              </w:rPr>
              <w:t>(1)</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Add: Amortization of customer warrant assets</w:t>
            </w:r>
            <w:r>
              <w:rPr>
                <w:rFonts w:ascii="Times New Roman;serif" w:hAnsi="Times New Roman;serif"/>
                <w:b w:val="false"/>
                <w:color w:val="000000"/>
                <w:sz w:val="13"/>
              </w:rPr>
              <w:t>(1)</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Add: Employer payroll tax related to stock-based compensation from IPO</w:t>
            </w:r>
            <w:r>
              <w:rPr>
                <w:rFonts w:ascii="Times New Roman;serif" w:hAnsi="Times New Roman;serif"/>
                <w:b w:val="false"/>
                <w:color w:val="000000"/>
                <w:sz w:val="13"/>
              </w:rPr>
              <w:t>(2)</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Core operating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(63,217)</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(1)Core operating loss does not include the tax effects of the non-GAAP adjustments because such tax effects were not material during the periods presented.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(2)Employer payroll taxes related to the time-based vesting and settlement of RSUs that had previously met the time-based vesting condition and for which the liquidity-based vesting condition was satisfied in connection with our IPO.</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Core Net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monitor core net loss for planning and performance measurement purposes. We define core net loss as net income (loss) presented in accordance with GAAP, adjusted to exclude pass-through revenue and data center costs, amortization of customer warrant assets, stock-based compensation, the extinguishment of forward contract liability, and employer payroll tax related to stock-based compensation from IPO. We have presented core net loss because we believe that the exclusion of these charges allows for a more relevant comparison of our results of operations to other companies in our industry and facilitates period-to-period comparisons as it eliminates the effect of certain factors unrelated to our overall operating performance. Our calculation of core net loss does not currently include the tax effects of the stock-based compensation expense adjustment because such tax effects have not been material to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reconciliation of our GAAP net loss, the most directly comparable GAAP financial measure, to our core net loss is presented below (in thousands):</w:t>
      </w:r>
    </w:p>
    <w:tbl>
      <w:tblPr>
        <w:tblW w:w="10205" w:type="dxa"/>
        <w:jc w:val="left"/>
        <w:tblInd w:w="0" w:type="dxa"/>
        <w:tblLayout w:type="fixed"/>
        <w:tblCellMar>
          <w:top w:w="28" w:type="dxa"/>
          <w:left w:w="28" w:type="dxa"/>
          <w:bottom w:w="28" w:type="dxa"/>
          <w:right w:w="28" w:type="dxa"/>
        </w:tblCellMar>
      </w:tblPr>
      <w:tblGrid>
        <w:gridCol w:w="1741"/>
        <w:gridCol w:w="1367"/>
        <w:gridCol w:w="1376"/>
        <w:gridCol w:w="211"/>
        <w:gridCol w:w="880"/>
        <w:gridCol w:w="109"/>
        <w:gridCol w:w="109"/>
        <w:gridCol w:w="109"/>
        <w:gridCol w:w="109"/>
        <w:gridCol w:w="211"/>
        <w:gridCol w:w="826"/>
        <w:gridCol w:w="109"/>
        <w:gridCol w:w="109"/>
        <w:gridCol w:w="109"/>
        <w:gridCol w:w="109"/>
        <w:gridCol w:w="211"/>
        <w:gridCol w:w="880"/>
        <w:gridCol w:w="109"/>
        <w:gridCol w:w="109"/>
        <w:gridCol w:w="109"/>
        <w:gridCol w:w="109"/>
        <w:gridCol w:w="211"/>
        <w:gridCol w:w="826"/>
        <w:gridCol w:w="157"/>
      </w:tblGrid>
      <w:tr>
        <w:trPr/>
        <w:tc>
          <w:tcPr>
            <w:tcW w:w="174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GAAP 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Less: Pass-through revenue and related data center costs, net</w:t>
            </w:r>
            <w:r>
              <w:rPr>
                <w:rFonts w:ascii="Times New Roman;serif" w:hAnsi="Times New Roman;serif"/>
                <w:b w:val="false"/>
                <w:color w:val="000000"/>
                <w:sz w:val="13"/>
              </w:rPr>
              <w:t>(1)</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Extinguishment of forward contract liability</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Add: Stock-based compensation expense</w:t>
            </w:r>
            <w:r>
              <w:rPr>
                <w:rFonts w:ascii="Times New Roman;serif" w:hAnsi="Times New Roman;serif"/>
                <w:b w:val="false"/>
                <w:color w:val="000000"/>
                <w:sz w:val="13"/>
              </w:rPr>
              <w:t>(1)</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Add: Amortization of customer warrant assets</w:t>
            </w:r>
            <w:r>
              <w:rPr>
                <w:rFonts w:ascii="Times New Roman;serif" w:hAnsi="Times New Roman;serif"/>
                <w:b w:val="false"/>
                <w:color w:val="000000"/>
                <w:sz w:val="13"/>
              </w:rPr>
              <w:t>(1)</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Add: Employer payroll tax related to stock-based compensation from IPO</w:t>
            </w:r>
            <w:r>
              <w:rPr>
                <w:rFonts w:ascii="Times New Roman;serif" w:hAnsi="Times New Roman;serif"/>
                <w:b w:val="false"/>
                <w:color w:val="000000"/>
                <w:sz w:val="13"/>
              </w:rPr>
              <w:t>(2)</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Core 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(55,256)</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(1)Core net loss does not include the tax effects of the non-GAAP adjustments because such tax effects were not material during the periods presented.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(2)Employer payroll taxes related to the time-based vesting and settlement of RSUs that had previously met the time-based vesting condition and for which the liquidity-based vesting condition was satisfied in connection with our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Liquidity and Capital Resources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our principal sources of liquidity were cash, cash equivalents, and restricted cash of $7.4 billion and marketable securities of $1.2 billion. Our cash and cash equivalents primarily consisted of cash deposited in money market or holding accounts with financial institutions. Marketable securities were comprised of investments in U.S. government securities with an original maturity greater than three months at the time of purchase but less than or equal to one year at period-end.</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financed our operations primarily through sales of common stock and redeemable convertible preferred stock and payments from our customers, including prepayments from customers. On May 15, 2026, we completed the IPO, in which we issued and sold 34,500,000 shares of Class A common stock at $185.00 per share. We received net proceeds of approximately $6.2 billion from the IPO, after deducting underwriting discounts and commissions and estimated offering expenses. As of June 30, 2026, we had an outstanding Working Capital Loan of $918.2 million related to the remaining principal balance of the Working Capital Loan with OpenAI. Our principal uses of cash in recent periods have been to fund our operations and invest in research and development. As of June 30, 2026, we had an accumulated deficit of $1.4 billion.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our current cash, cash equivalents, restricted cash, and marketable securities will be sufficient to fund our operations for at least the next 12 months from the date of this Quarterly Report on Form 10-Q. Our future capital requirements, however, will depend on many factors, including our growth rate, the portion of our business that comes from cloud services requiring additional capital expense for our systems and related long-term data center obligations, the timing and extent of our sales and marketing and research and development expenditures including personnel costs, capital expenditures for tape-outs of our chip designs, the continuing market acceptance of our products, and the use of cash to fund potential mergers or acquisitions. In the event that additional financing is required from outside sources, we may seek to raise additional funds through equity, equity-linked arrangements, and debt. The sale of additional equity would result in dilution to our stockholders. The incurrence of debt would result in debt service obligations, and the instruments governing such debt could provide for operational and/or financial covenants that further restrict our operations. If we are unable to raise additional capital when desired and at reasonable rates, our business, results of operations, and financial condition could be adversely affected.</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Revolving Credit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14, 2026, we entered into a revolving credit and guaranty agreement (the “Revolving Credit Agreement”) with Morgan Stanley Senior Funding, Inc., as administrative agent and collateral agent, the letter of credit issuers from time to time party thereto, and the lenders from time to time party thereto, which provides for a revolving credit facility (the “Revolving Credit Facility”) of up to $250.0 million that may initially be used solely for standby letters of credit to data center landlords and developers. Prior to the Phase Two Effective Date (as defined below), loans under the Revolving Credit Facility will incur interest, at our option, at a rate per annum equal to either (i) a base rate or (ii) term secured overnight interest rate (“SOFR”) plus 1.50%. Additionally, prior to the Phase Two Effective Date, we were required to pay commitment fees of 0.250% per annum on the undrawn portion of the commitments under the Revolving Credit Facility. Prior to the Phase Two Effective Date, the obligations under the Revolving Credit Facility were secured by cash collateral only, with no guarantees required.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completion of the IPO and satisfaction of pro forma covenant compliance and customary closing conditions, on June 17, 2026 (such date, the “Phase Two Effective Date”), the Revolving Credit Facility was upsized to up to $850.0 million, the proceeds of which may be used for general corporate purposes. Following the Phase Two Effective Date, loans under the Revolving Credit Facility incur interest, at our option, at a rate per annum equal to either (i) a base rate or (ii) term SOFR plus 2.25%, which decreases to 2.00% per annum upon achievement of an enhanced debt to EBITDA ratio. Beginning on the Phase Two Effective Date, we are required to pay commitment fees of 0.375% per annum on the undrawn portion of the commitments under the Revolving Credit Facility. The Revolving Credit Facility matures on April 14, 2031. Following the Phase Two Effective Date, the obligations under the Revolving Credit Facility are secured by liens on substantially all of our assets with carveouts for certain items, including securitization and leased infrastructure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Revolving Credit Agreement contains a liquidity covenant requiring that unrestricted cash and cash equivalents (subject to certain exclusions), plus the undrawn revolver commitments, be not less than $150.0 million as of the last day of each fiscal quarter. Additionally, the Revolving Credit Agreement contains customary affirmative and, following the Phase Two Effective Date, negative covenants (including restrictions on indebtedness, liens, investments, asset dispositions, and affiliate transactions, each subject to customary exceptions and baskets) and customary events of default.</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6429" w:type="dxa"/>
        <w:jc w:val="left"/>
        <w:tblInd w:w="0" w:type="dxa"/>
        <w:tblLayout w:type="fixed"/>
        <w:tblCellMar>
          <w:top w:w="28" w:type="dxa"/>
          <w:left w:w="28" w:type="dxa"/>
          <w:bottom w:w="28" w:type="dxa"/>
          <w:right w:w="28" w:type="dxa"/>
        </w:tblCellMar>
      </w:tblPr>
      <w:tblGrid>
        <w:gridCol w:w="1255"/>
        <w:gridCol w:w="1100"/>
        <w:gridCol w:w="1110"/>
        <w:gridCol w:w="211"/>
        <w:gridCol w:w="1051"/>
        <w:gridCol w:w="109"/>
        <w:gridCol w:w="109"/>
        <w:gridCol w:w="109"/>
        <w:gridCol w:w="109"/>
        <w:gridCol w:w="211"/>
        <w:gridCol w:w="90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$47.5 million for the six months ended June 30, 2026, reflecting a net loss of $464.5 million and a $142.4 million net use of cash from changes in operating assets and liabilities, partially offset by $559.5 million of non-cash charges. Non-cash charges consisted primarily of $386.6 million of stock-based compensation expense, $46.3 million of amortization of customer warrant assets, and $42.6 million of depreciation and amortization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$123.8 million for the six months ended June 30, 2025, reflecting net income of $285.6 million, offset by $317.5 million of net non-cash adjustments and a $91.9 million net use of cash from changes in operating assets and liabilities. Net non-cash adjustments consisted primarily of a $363.3 million non-cash gain from the extinguishment of the forward contract liability, partially offset by $22.4 million of stock-based compensation expense and $9.3 million of depreciation and amortization expense.</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$1.3 billion for the six months ended June 30, 2026 was the result of $1.3 billion in purchases of various investments and $548.9 million in purchases of property and equipment primarily for systems to deliver Cerebras Cloud services, offset by $514.5 million in maturities and sales of these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$87.3 million for the six months ended June 30, 2025 was the result of $185.1 million in purchases of property and equipment and purchases of $20.2 million in various investments offset by $118.0 million in maturities and sales of these investments.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$7.9 billion for the six months ended June 30, 2026 was the result of $6.2 billion in proceeds from our initial public offering, net of underwriting discounts and commissions, $1.0 billion net proceeds from the issuance of Series H redeemable convertible preferred stock, $1.0 billion received from the Working Capital Loan from OpenAI, $20.2 million in proceeds from stock option exercises, and $15.0 million in proceeds from issuance of common stock, partially offset by $416.7 million of tax withholding related to the tender offer and the IPO, $12.7 million in payments of deferred offering costs and other financing activities, and $3.8 million in fees paid for the revolving credit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of $5.1 million for the six months ended June 30, 2025 was primarily the result of $5.2 million in proceeds from stock option exercises. </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 xml:space="preserve">Commitments and Contractual Obligations </w:t>
      </w:r>
    </w:p>
    <w:p>
      <w:pPr>
        <w:pStyle w:val="TextBody"/>
        <w:bidi w:val="0"/>
        <w:spacing w:lineRule="auto" w:line="268" w:before="0" w:after="0"/>
        <w:jc w:val="both"/>
        <w:rPr/>
      </w:pPr>
      <w:r>
        <w:rPr>
          <w:rFonts w:ascii="Times New Roman;serif" w:hAnsi="Times New Roman;serif"/>
          <w:b w:val="false"/>
          <w:i/>
          <w:color w:val="000000"/>
          <w:sz w:val="20"/>
        </w:rPr>
        <w:t>Operating lease commitments.</w:t>
      </w:r>
      <w:r>
        <w:rPr>
          <w:color w:val="000000"/>
        </w:rPr>
        <w:t xml:space="preserve"> </w:t>
      </w:r>
      <w:r>
        <w:rPr>
          <w:rFonts w:ascii="Times New Roman;serif" w:hAnsi="Times New Roman;serif"/>
          <w:b w:val="false"/>
          <w:color w:val="000000"/>
          <w:sz w:val="20"/>
        </w:rPr>
        <w:t>As of June 30, 2026, our operating lease commitments included data centers and corporate office leases, for which we had fixed lease payment obligations of $690.3 million. During the three months ended June 30, 2026, we executed non-cancelable lease agreements for additional data center capacity with lease commencement dates in 2026. These agreements are not included in the $690.3 million amount above. In the third quarter of 2026, we entered into additional non-cancelable lease agreements for data center capacity, also with lease commencement dates in 2026. Aggregate undiscounted future minimum lease payments under these agreements total approximately $2.3 billion over the respective lease term. Refer to Note 15 - Leases and Note 17 - Subsequent Events to our unaudited condensed consolidated financial statements included elsewhere in this Quarterly Report on Form 10-Q for further discussion.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Purchase commitments</w:t>
      </w:r>
      <w:r>
        <w:rPr>
          <w:rFonts w:ascii="Times New Roman;serif" w:hAnsi="Times New Roman;serif"/>
          <w:b w:val="false"/>
          <w:color w:val="000000"/>
          <w:sz w:val="20"/>
        </w:rPr>
        <w:t>. As of June 30, 2026, future payments related to non-cancelable commitments for contracts with a remaining term of over one year are as follows: $3.6 million (remaining 6 months of 2026), $6.2 million (2027), and $0.5 million (2028). Refer to Note 16 - Commitments and Contingencies to our unaudited condensed consolidated financial statements included elsewhere in this Quarterly Report on Form 10-Q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Management’s discussion and analysis of our financial condition and results of operations is based on our unaudited condensed consolidated financial statements and the related notes thereto, which have been prepared in accordance with accounting principles generally accepted in the United States (“GAAP”). In preparing the unaudited condensed consolidated financial statements, we apply accounting policies and estimates that affect the reported amounts and related disclosures. Inherent in such policies are certain key assumptions and estimates made by management, which we believe best reflect our underlying business and economic conditions. Our estimates are based on historical experience and various other factors and assumptions that we believe are reasonable under the circumstances. We regularly re-evaluate our estimates used in the preparation of the unaudited condensed consolidated financial statements based on our latest assessment of the current and projected business and economic environment. By their nature, these estimates and judgments are subject to an inherent degree of uncertainty, and actual results could differ materially from the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reported based on these estimates. There have been no material changes to our critical accounting policies and estimates as described in the Prospectus. For additional information about our critical accounting estimates, see the disclosure included in the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 (Subtopic 220-40): Disaggregation of Income Statement Expenses (“ASU 2024-03”)</w:t>
      </w:r>
      <w:r>
        <w:rPr>
          <w:rFonts w:ascii="Times New Roman;serif" w:hAnsi="Times New Roman;serif"/>
          <w:b w:val="false"/>
          <w:color w:val="000000"/>
          <w:sz w:val="20"/>
        </w:rPr>
        <w:t>. The guidance requires disaggregated information about certain income statement expense line items on an annual and interim basis. This guidance will be effective for annual periods beginning after December 15, 2026 and for interim periods thereafter. The new standard permits early adoption and can be applied prospectively or retrospectively. The Company is evaluating the effect that this guidance will have on its unaudited condensed consolidated financial statements and related disclosures.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Goodwill and Other‒Internal-Use Software (Subtopic 350-40): Targeted Improvements to the Accounting for Internal-Use Software (“ASU 2025-06”)</w:t>
      </w:r>
      <w:r>
        <w:rPr>
          <w:rFonts w:ascii="Times New Roman;serif" w:hAnsi="Times New Roman;serif"/>
          <w:b w:val="false"/>
          <w:color w:val="000000"/>
          <w:sz w:val="20"/>
        </w:rPr>
        <w:t>. The guidance modernizes the accounting for software costs and enhances transparency about an entity’s software costs. The guidance will be effective for annual reporting periods beginning after December 15, 2027, and interim reporting periods within those annual reporting periods. Early adoption is permitted as of the beginning of an annual reporting period. Upon adoption, the guidance can be applied prospectively, retrospectively, or under a modified transition approach. The Company is evaluating the effect that this guidance will have on its unaudited condensed consolidated financial statements and related disclosures and does not expect the adoption of this guidance to have a material impact on its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Foreign Currency and Exchange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functional currency for our subsidiaries located in Canada and India is the local currency of the country in which the subsidiary operates. The functional currency of our subsidiary in France is the U.S. dollar. Accordingly, we are exposed to foreign currency translation risk related to subsidiaries whose functional currencies are not the U.S. dollar and foreign currency transaction remeasurement risk when transactions are denominated in a currency other than the applicable entity’s functional currency. However, we engage in a small number of and immaterial transactions outside of the functional currency of the reporting unit, resulting in negligible exposure to foreign currency risk. We have not hedged such exposure, although we may do so in the future if our exposure to foreign currency risk increases. A hypothetical 10% change in the relative value of the U.S. dollar would not have a material effect on our unaudited condensed consolidated financial statements for the periods presented.</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had cash, cash equivalents, and restricted cash of $7.4 billion as of June 30, 2026. Cash and cash equivalents primarily consist of amounts deposited in money market instruments with financial institutions and having original maturity of three months or less. We hold cash and cash equivalents for working capital purposes. Due to the short-term nature of our investments, we have not been exposed to, nor do we anticipate being exposed to, material risks due to changes in interest rates. A hypothetical 10% change in interest rates would increase or decrease other income, net by $22.0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we had $918.2 million outstanding under the Working Capital Loan with OpenAI. This note bears interest at a fixed rate of 6.0% per annum. The note permits repayment in cash or through the delivery of services under the related commercial arrangement, and accrued interest attributable to amounts repaid through the delivery of services is deemed paid in accordance with the terms of the note. Because the interest rate on the note is fixed and does not reset based on changes in SOFR, prime, or another market interest rate, changes in market interest rates would not affect the contractual interest rate or related interest expense recognized on the note. A hypothetical 10% change in interest rates would not have a material effect on our unaudited condensed consolidated financial statements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Limitation on Effectiveness of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conducted an evaluation of the effectiveness of the design and operation of our disclosure controls and procedures, as defined in Rules 13a-15(e) and 15d-15(e) under the Securities Exchange Act of 1934, as amended (the “Exchange Act”), as of the end of the period covered by this Quarterly Report on Form 10-Q. Based on the evaluation of our disclosure controls and procedures, our Chief Executive Officer and Chief Financial Officer concluded that our disclosure controls and procedures were not effective at the reasonable assurance level as of June 30, 2026 due to the material weaknesses in our internal control over financial reporting described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Previously Reported Material Weaknesses in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combination of deficiencies in our internal control over financial reporting such that there is a reasonable possibility that a material misstatement of our annual or interim consolidated financial statements would not be prevented or detected on a timely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disclosed in the section titled “Risk Factors” in Part II, Item 1A of this Quarterly Report on Form 10-Q, we previously identified material weaknesses in our internal control over financial reporting related to the lack of effectively designed, implemented, and maintained IT general controls over applications that support our financial reporting processes; insufficient segregation of duties across financially relevant functions, and lack of sufficient number of qualified personnel within our accounting, finance, and operations functions who possessed an appropriate level of expertise to provide reasonable assurance that transactions were being appropriately recorded and disclosed. We have concluded that these material weaknesses existed because we did not have the necessary business processes, systems, personnel and related internal controls pertaining to several financial statement areas, including revenue recognition, inventory management and costing, data center assets accounting, and equity administration. The deficiencies identified did not result in a material misstatement to our financial statements.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Remediation Efforts to Address Previously Identified Material Weaknesses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taken and will continue to take action to remediate these material weaknesses, including:</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continued hiring of additional accounting, finance, and operations resources with appropriate and sufficient technical expertise to improve oversight across critical accounting areas;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designing and implementing controls related to significant accounts and disclosures to achieve complete, accurate and timely financial accounting, reporting and disclosures, including controls over account reconciliations, segregation of duties and the preparation and review of journal entries over significant accounting matters;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implementing processes and controls to better identify and manage risks, including segregation of duties;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implementation of IT general controls to manage access and program changes within our IT environment;</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engagement with external consultants with extensive Sarbanes-Oxley Act experience; and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consulting with experts on technical accounting matters, internal controls, and the preparation of our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we are making progress toward achieving effectiveness of our internal control over financial reporting. The actions that we are taking are subject to ongoing management review and audit committee oversight. We will not be able to conclude whether the steps we are taking will fully remediate the material weaknesses in our internal control over financial reporting until we have completed our remediation efforts and subsequently evaluated their design and effectiveness over a sufficient period of time, and management concludes, through testing, that these are operating effectively. We may also conclude that additional measures are required to remediate the material weaknesses in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Except for the remediation measures in connection with the material weaknesses described above, there were no changes in our internal control over financial reporting, as defined in Rules 13a-15(f) and 15d-15(f) under the Exchange Act, that occurred during the three months ended June 30,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results of operations,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both"/>
        <w:rPr/>
      </w:pPr>
      <w:r>
        <w:rPr>
          <w:rFonts w:ascii="Times New Roman;serif" w:hAnsi="Times New Roman;serif"/>
          <w:b w:val="false"/>
          <w:i/>
          <w:color w:val="000000"/>
          <w:sz w:val="20"/>
        </w:rPr>
        <w:t>Investing in our Class A common stock involves a high degree of risk. You should carefully consider the risks described below in this Quarterly Report on Form 10-Q including our unaudited</w:t>
      </w:r>
      <w:r>
        <w:rPr>
          <w:color w:val="000000"/>
        </w:rPr>
        <w:t xml:space="preserve"> </w:t>
      </w:r>
      <w:r>
        <w:rPr>
          <w:rFonts w:ascii="Times New Roman;serif" w:hAnsi="Times New Roman;serif"/>
          <w:b w:val="false"/>
          <w:i/>
          <w:color w:val="000000"/>
          <w:sz w:val="20"/>
        </w:rPr>
        <w:t>condensed consolidated financial statements and the notes thereto, and the section titled “Management’s Discussion and Analysis of Financial Condition and Results of Operations” in Part I, Item 2 as well as the other information in this Quarterly Report on Form 10-Q. The occurrence of any of the events or developments described below may harm our business, financial condition, results of operations, and prospects. In such an event, the price of our Class A common stock could decline, and you may lose all or part of your investment. Additional risks and uncertainties not presently known to us or that we currently believe are not material may also harm our business, financial condition, results of operations,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Risk Factors Summary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and this summary provides an overview of such risks. You should read this risk factor summary together with the more detailed discussion of risks and uncertainties following this summary.</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We may not sustain our growth rate, and we may not be able to manage future growth effectively.</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We have a history of generating net losses, and if we are unable to achieve adequate revenue growth while our expenses increase, we may not achieve and maintain profitability in the future.</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We have a limited operating history at our current scale, and we may have difficulty evaluating our current business and accurately predicting our future revenue for the purpose of appropriately budgeting and adjusting our expenses.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A substantial portion of our revenue has been, and is expected to continue to be, driven by a limited number of customers. A reduction in demand from, or a material adverse development in our relationship with any of our significant customers, including OpenAI, G42, MBZUAI, and AWS, or our failure to meet our obligations under the MRA with OpenAI, would harm our business, financial condition, results of operations, and prospects.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Our revenue historically has been derived from sales of our hardware systems. We are in the early stages of delivering our cloud-based offerings, the market for which is nascent and evolving rapidly, and which require significant data center capacity and capital investments for which we expect to require significant additional capital. There is no assurance that we will be able to sustain or increase revenue from these efforts.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Our cloud-based offerings are subject to certain risks and challenges. Unfavorable or uncertain conditions in the training or inference cloud market, as well as for AI infrastructure, may cause fluctuations in our results of operations.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The market for AI computing solutions is competitive, evolving, and requires scale, and if we do not compete effectively, our business, financial condition, results of operations, and prospects may be harmed.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The broader adoption, use, and commercialization of AI technology, and the continued rapid pace of developments in the AI field, are inherently uncertain. If we are unable to expand the application of our offerings, keep up with evolving AI technology requirements, or if new offerings we develop and introduce into the market are not successful, our business, financial condition, results of operations, and prospects may be harmed.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We depend on third-party suppliers, including certain sole sources, and substantially all of our manufacturing services and components are procured on a purchase order basis without capacity or volume commitments, which may harm our ability to compete, meet customer demand, satisfy customer contracts or bring products to market, and our reputation, business, financial condition, results of operations, and prospects.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Our supply chain is long, complex, and global, with many interdependencies. Any significant fluctuations in supply and demand or disruption to our supply chain may harm our ability to manufacture and deliver our products to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Our business and our offerings are subject to various governmental regulations, and compliance with these regulations may cause us to incur significant expense. If we fail to comply with applicable regulations, we could be subject to administrative, civil, and/or criminal penalties.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Our offerings are subject to U.S. export controls and may be exported outside the United States only with the required export license or through a license exception. We cannot guarantee that we will be successful in obtaining all required licenses in the future. If we are unable to obtain licenses to export our offerings, our business, financial condition, results of operations, and prospects may be harmed.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We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the value of our Class A common stock.</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The multi-class structure of our capital stock as contained in our amended and restated certificate of incorporation has the effect of concentrating voting control with those stockholders who held our securities prior to the IPO, including our executive officers, employees, and directors and their affiliates, and limiting your ability to influence corporate matters, which could adversely affect the price of our Class A common stock.</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not sustain our growth rate, and we may not be able to manage future growth effectively.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experienced significant growth in a short period of time. Our revenue increased from $290.3 million for the year ended December 31, 2024 to $510.0 million for the year ended December 31, 2025, and to $373.5 million in the six months ended June 30, 2026. We may not achieve similar growth rates in future periods. You should not rely on our results of operations for any prior quarterly or annual periods as an indication of our future operating performance. If we are unable to maintain adequate revenue growth, our financial results could suffer, and our stock price could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manage our growth successfully and handle the responsibilities of being a public company, we believe we must effectively, among other things: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recruit, hire, train, and manage additional qualified personnel for our engineering, security, operations, manufacturing, cloud, and data center activities;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continue to make significant investments in our new and existing products;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invest in long-term research and development to remain at the forefront of innovation;</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improve and scale our sales, marketing and go-to-market functions;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improve and scale our manufacturing, supply chain, operations, and data center capacity procurement, fit-out, and deployment functions; and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improve and scale our administrative, financial, legal and compliance functions, and operational systems, procedures, and controls.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growth is dependent on our ability to meet the needs of new customers and the expanding needs of our existing customers as their use of our solutions and services grows, as well as our ability to fulfill existing orders on their committed delivery schedules. As sales of our offerings grow, we will need to devote additional resources to expanding, improving, and maintaining our infrastructure, including our hardware, software, cybersecurity, and cloud infrastructure, and integrating with third-party applications and partner platforms and marketplaces. In addition, we will need to appropriately scale our internal business systems and our services organization, including customer support, to serve our growing customer base, and to improve our IT and financial infrastructure, operating and administrative systems, and our ability to effectively manage headcount, capital, and processes, including by reducing costs and inefficiencies. Importantly, we will need to substantially expand our manufacturing capacity and supply chain, and increase our rate of data center capacity and build-out. Any failure of, or delay in, these efforts could result in impaired product performance and reduced customer satisfaction, and in some cases breach of our contractual obligations, which would negatively impact our revenue growth and our reputation. We may not be successful in developing or implementing these technologies and business operations. In addition, it takes a significant amount of time and capital to plan, develop, and test improvements to our technologies and infrastructure, and we may not be able to accurately forecast demand or predict the results we will realize from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improvements. In some circumstances, we may also choose to scale our technology through the acquisition of complementary businesses and technologies rather than through internal development, which may divert management’s time and resources. To the extent that we cannot or do not effectively scale our operations to meet the needs of our growing customer base and to maintain performance and manufacturing capacity as our customers expand their use of our offerings, we will not be able to grow as quickly as we anticipate, our customers may reduce or terminate use of our solutions, our current and potential customers may seek more readily available alternatives, and we will be unable to compete as effectively, and our business, financial condition, results of operations, and prospects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certain of our customer agreements, including the MRA with OpenAI (each as defined in the section titled “Management’s Discussion and Analysis of Financial Condition and Results of Operations”), contain exclusivity provisions that restrict us from supporting, collaborating with, and/or selling certain products and services to certain named competitors of such customers. These restrictions may prevent us from pursuing strategic and revenue opportunities with major technology companies that are leading participants in the AI industry, limit our ability to diversify our customer base and revenue streams, and negatively impact our growth opportunities.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manage our growth effectively, we may not be able to take advantage of market opportunities or develop new products, and we may fail to satisfy customer requirements, maintain product quality, execute our business plan, or respond to competitive pressures, which may harm our business, financial condition, results of operations,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have a history of generating net losses, and if we are unable to achieve adequate revenue growth while our expenses increase, we may not achieve and maintain profitability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incurred net loss of $450.5 million and net income of $309.5 million for the three months ended June 30, 2026 and 2025, respectively, and net loss of $464.5 million and net income of $285.6 million for the six months ended June 30, 2026 and 2025, respectively, and have a history of generating net losses. We incurred core net loss of $6.9 million and core net loss of $40.5 million for the three months ended June 30, 2026 and 2025, respectively, and core net loss of $9.4 million and core net loss of $55.3 million for the six months ended June 30, 2026 and 2025 after excluding the impact of stock-based compensation expense, pass-through revenue and costs, amortization of customer warrant assets and other one-time adjustments from our GAAP net loss. For more information and for a reconciliation of core net loss to net loss, see the section titled “Management’s Discussion and Analysis of Financial Condition and Results of Operations—Non-GAAP Financial Measures.” As of June 30, 2026, we had an accumulated deficit of $1.4 billion. These losses and our accumulated deficit are a result of the substantial investments we have made to grow our business. We expect our costs will increase over time and our losses may continue if such increases in costs are not more than fully offset by increases in our revenue. We expect to continue to invest significant additional funds in expanding our business and research and development activities as we continue to develop new products. We launched our cloud-based inference offering in 2024, which required new investments in cloud infrastructure and data center capacity that we historically did not need for hardware system sales. We expect to significantly increase our investments in cloud infrastructure and data centers to enable growth in our inference service. We also expect to incur additional general and administrative expenses as a result of our growth and expect our costs to increase to support our operations as a public company. Moreover, during the quarter in which the IPO was completed this year, we began recording stock-based compensation expense for RSUs and PRSUs that we have granted to our service providers, which generally vest upon the satisfaction of both service-based or market-based and liquidity-based vesting conditions occurring before the award’s expiration date. The liquidity-based vesting condition for such RSUs and PRSUs was satisfied in connection with the IPO, resulting in significant increases to our stock-based compensation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our revenue or revenue growth rate declines or our operating expenses exceed our expectations, our financial performance will be adversely affected. We will need to generate and sustain increased revenue levels in future periods in order to achieve and maintain profitability. If we cannot successfully grow our revenue at a rate that exceeds the costs associated with our business, we will not be able to achieve and maintain profitability, and the trading price of our Class A common stock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have a limited operating history at our current scale, and we may have difficulty evaluating our current business and accurately predicting our future revenue for the purpose of appropriately budgeting and adjusting our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a relatively short history operating our business at our current scale and have grown rapidly during that time. We were established in 2016 and began generating revenue in 2019. Prior to 2023, we had limited revenue. Our limited operating experience at our current scale, a dynamic and rapidly evolving market in which we sell our products, our dependence on a limited number of customers, our limited history building and selling access to our cloud-based platform, the timing of large hardware systems sales, our limited experience in evaluating, procuring and operating data centers, as well as numerous other factors beyond our control, could impede our ability to forecast quarterly and annual revenue accurately and may make it difficult to evaluate our current business, prospects, and other trends. We have encountered, and will continue to encounter, risks and uncertainties frequently experienced by growing companies in rapidly changing industries and sectors, such as the risks and uncertainties described herein. Any predictions about our future financial performance may not be as accurate as they would be if we had a longer operating history or operated in a more predictable or established market. As a result, we could experience budgeting and cash flow management problems, unexpected fluctuations in our results of operations, and other challenges, any of which could make it difficult for us to achieve and maintain profitability and could increase the volatility of the price of our Class A common stock. If our assumptions regarding these risks and uncertainties are incorrect or change due to fluctuations in our markets, any material reduction in AI spending, changes in applicable regulatory frameworks, changes in demand for specialized AI cloud infrastructure and custom AI accelerators, or otherwise, or if we do not address these risks successfully, our financial condition and results of operations could differ significantly from our expectations and our business, financial condition, results of operations, and prospects would be adversely affected. We cannot ensure that we will be successful in addressing these and other challenges we may face in the future. The risks associated with having a limited operating history may be exacerbated by current macroeconomic and geopolitical conditions discussed herein.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 substantial portion of our revenue has been, and is expected to continue to be, driven by a limited number of customers. A reduction in demand from, or a material adverse development in our relationship with any of our significant customers, including OpenAI, G42, MBZUAI, and AWS, or our failure to meet our obligations under the MRA with OpenAI, would harm our business, financial condition, results of operations, and prospects.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substantial portion of our revenue is driven by a limited number of customers. Mohamed bin Zayed University of Artificial Intelligence (“MBZUAI”) accounted for 34% and 70% of our total revenue for the three months ended June 30, 2026 and 2025, respectively, and 49% and 47% for the six months ended June 30, 2026 and 2025, respectively. Group 42 Holding Ltd (together with its affiliates, “G42”) accounted for 9% and 18% for the three months ended June 30, 2026 and 2025, respectively, and 10% and 41% for the six months ended June 30, 2026 and 2025, respectively. In December 2025, we entered into the MRA with OpenAI, which represents a substantial portion of our projected revenues over the next several years.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dependence on our relationships with OpenAI, G42, and MBZUAI subjects us to a number of risks. Any negative changes in demand from OpenAI, G42, or MBZUAI, in their ability or willingness to perform under their contracts with us, in laws or regulations applicable to OpenAI, G42 or MBZUAI, or the United Arab Emirates, or in our broader strategic relationship with OpenAI, G42, or MBZUAI would harm our business, financial condition, results of operations, and prospects. Even if OpenAI, G42, and MBZUAI remain satisfied with our offerings, it is possible that they will no longer need to purchase additional AI compute or services at the same quantity as prior periods, or that their ability to purchase our offerings may change for reasons outside of their control. OpenAI, G42, or MBZUAI may also choose to purchase more of their AI compute from our competitors.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under the MRA with OpenAI, unless otherwise agreed to, we are required to deliver capacity tranches across specified numbers of data centers with minimum capacity thresholds upon certain time-based milestones. If we fail to deliver such capacity on the stated timelines, or if we experience a certain level of failure with respect to our service levels, OpenAI has the right to terminate a portion or all of the agreement. In addition, pursuant to the MRA with OpenAI, we received the $1.0 billion Working Capital Loan (as defined in the section titled “Management’s Discussion and Analysis of Financial Condition and Results of Operations”). The Working Capital Loan has a maturity date of no later than December 31, 2032, and is scheduled to be repaid in equal amortized installments over a three-year term, commencing after the delivery of the final tranche of the initial 250 MW of capacity. Interest accrues on the outstanding principal balance at a rate of 6% per annum; provided that interest may be waived under certain circumstances. If the MRA is terminated for any reason other than OpenAI’s material uncured breach, or if certain trigger events occur, OpenAI may direct the bank to cease complying with our instructions regarding the Working Capital Loan funds and may instead control the disposition of funds in the account, and we may be required to immediately repay the outstanding principal balance of the Working Capital Loan together with accrued interest. Our failure to perform under the MRA would harm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pPr>
      <w:r>
        <w:rPr>
          <w:rFonts w:ascii="Times New Roman;serif" w:hAnsi="Times New Roman;serif"/>
          <w:b w:val="false"/>
          <w:color w:val="000000"/>
          <w:sz w:val="20"/>
        </w:rPr>
        <w:t xml:space="preserve">Further, as of June 30, 2026, two customers accounted for 76% of our accounts receivable balance. As of December 31, 2025, one customer accounted for 78% of our accounts receivable balance. This customer concentration increases the risk of quarterly fluctuations in our results of operations and our sensitivity to any material adverse developments experienced by, or in our relationships with, our significant customers. G42 and MBZUAI are considered related parties with respect to each other as defined by Accounting Standards Codification 850, </w:t>
      </w:r>
      <w:r>
        <w:rPr>
          <w:rFonts w:ascii="Times New Roman;serif" w:hAnsi="Times New Roman;serif"/>
          <w:b w:val="false"/>
          <w:i/>
          <w:color w:val="000000"/>
          <w:sz w:val="20"/>
        </w:rPr>
        <w:t>Related Party Disclosures</w:t>
      </w:r>
      <w:r>
        <w:rPr>
          <w:rFonts w:ascii="Times New Roman;serif" w:hAnsi="Times New Roman;serif"/>
          <w:b w:val="false"/>
          <w:color w:val="000000"/>
          <w:sz w:val="20"/>
        </w:rPr>
        <w:t>. The loss of, any substantial reduction in sales to, or the default on payments by, any of our significant customers would harm our business, financial condition,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2026, we entered into a commercial agreement with AWS (“AWS Commercial Agreement”) that provides for a strategic collaboration to deploy a joint compute solution in AWS data centers. The AWS Commercial Agreement includes an initial multi-year lease of our systems, options for future procurement of products and services, pricing commitments, exclusivity, minimum manufacturing capacity guarantees, and certain other protections in favor of AWS. These commitments may limit our ability to satisfy demand from other customers or prospective customers. In addition, if AWS does not purchase additional products or services under the agreement, we may have excess inventory and manufacturing capacity. Conversely, if AWS purchases additional products and services, as contemplated by our minimum capacity commitments in the AWS Commercial Agreement, AWS may represent a material percentage of our revenue at such time. Any adverse developments in our relationship with AWS, including any delays in the strategic collaboration, reduced sales or AWS’s decision not to purchase products or services beyond the initial lease, or our failure to perform under the AWS Commercial Agreement, would harm our business, financial condition, results of operations,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revenue historically has been derived from sales of our hardware systems. We are in the early stages of delivering our cloud-based offerings, the market for which is nascent and evolving rapidly, and which require significant data center capacity and capital investments for which we expect to require significant additional capital. There is no assurance that we will be able to sustain or increase revenue from these efforts.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revenue historically has been derived from sales of our hardware systems. In August 2024, we introduced our inference cloud service. We are only in the early stages of monetizing our cloud-based offerings, and we may not be able to grow these efforts into a sustainable part of our business. Additionally, we may not realize all of the benefits from our cloud-based offerings that we expect to achieve, or it may be more costly to do so than we anticipate, including as a result of substantial costs associated with data center and cloud infrastructure, which could negatively impact our cash flows and profitability. We have encountered, and will continue to encounter, challenges in compute capacity planning and allocation, as well as accurate financial planning and forecasting with the changing mix of offerings in our business model. For example, many customers or prospective customers of these offerings are startups, with capital intensive needs, that may not succeed. In addition, the difference in contract length for our data centers, which are longer term with limited ability to terminate and often include substantial liquidated damages clauses, versus our inference customer agreements, which are typically a mix of consumption-based pricing or shorter term dedicated capacity arrangements, creates further unpredictability in our results of operations. In addition, our cloud-based agreements may be terminated, not renewed, or renewed on less favorable terms, necessitating us to resell the idle capacity on an expedited basis. This may cause our results of operations to fluctuate from quarter to quarter, which makes them difficult to predict.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intend to continue to invest significantly in infrastructure as well as sales and marketing efforts related to our cloud-based offerings. This investment requires significant capital and other expenditures, which we expect to adversely impact cash flows from operations, gross profit, gross margins, and operating margins in certain periods, particularly in the near term, and may not ultimately grow our business or result in long-term profitability. We expect to require significant additional capital to fund our cloud offerings and support our growth. For example, significant upfront costs, prepayments, and/or financial guarantees have been and may continue to be required to procure data centers that are necessary for our cloud offerings. Additional financing may not be available on terms favorable to us, if at all. While we have historically been able to fund capital expenditures from cash generated from operations, prepayments and loans from certain customers, and equity financings, many factors could materially reduce the cash available from our operations, impede our ability to raise additional capital, or significantly increase our capital expenditure requirements, which may result in the inability to fund the necessary or desired level of capital expenditures. Under the MRA with OpenAI, OpenAI has provided us with the $1.0 billion Working Capital Loan to accelerate the development and build out of services, technology, and manufacturing. If the MRA is terminated for any reason other than OpenAI’s material uncured breach, or if certain trigger events occur, OpenAI may direct the bank to cease complying with our instructions regarding the Working Capital Loan funds and may instead control the disposition of funds in the account during the continuance of such trigger events and pursuant to the terms of the MRA, and we may be required to immediately repay the outstanding principal balance of the Working Capital Loan together with accrued interest. This could adversely affect our business, financial condition, results of operations, and prospects. If we raise additional funds through equity or convertible debt issuances, our existing stockholders may suffer significant dilution and these securities could have rights, preferences, and privileges that are superior to those of holders of our Class A common stock. If we obtain additional funds through debt financing, we may not be able to obtain such financing on terms favorable to us. Further, the current global macroeconomic environment and other factors discussed herein could make it more difficult to raise additional capital on favorable terms, if at all. Such terms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may be adversely affected, requiring us to delay, reduce, or eliminate some or all of our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 size of our data centers, and the total value of such data center contracts, have increased substantially over a short period of time, and may continue to increase in the near future. The types of financing arrangements, corporate structure, contract terms, and risk allocation for our prior data center transactions may not be appropriate for such larger commitments. Breaches or early terminations of data center agreements expose us to substantial damages and early termination fees. Regardless of size, we have limited experience evaluating data center providers, including their ability to build, operate, and finance their properties. In addition, demand for data center capacity is currently very high and in many cases, developers lack demonstrable experience across required phases of data center projects, making accurate assessments of project timing and quality difficult. We have in the past contracted, and may in the future contract, with data center providers that prove to be unsatisfactory, and have had disputes with such providers. Such disputes are and may continue to be costly to us. Any disputes with data center providers, and data center downtime, malfunctions, and delayed ready-for-service dates, have and may again cause us to incur litigation costs, settlement costs, damages, or penalties to our customers for missed service-level agreements or committed delivery dates. Any adverse developments with our data center providers may cause us to miss delivery obligations to our customers and revenue targets, and have a negative impact on our business, financial condition, results of operations,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Our cloud-based offerings are subject to certain risks and challenges. Unfavorable or uncertain conditions in the training or inference cloud market, as well as for AI infrastructure, may cause fluctuations in our results of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offerings include a cloud-based platform, where customers can purchase our AI computing solutions on a consumption-based or dedicated capacity model. This business model is intended to allow customers to choose the solution that best aligns with their budgetary, security, and scalability requirements. The risks and challenges of a cloud-based business model may be different from selling our products for on-premises use. For instance, building and scaling a cloud-based platform requires us to make significant capital expenditures to manufacture more hardware systems, to lease data centers with sufficient power and cooling infrastructure, and to maintain sufficient units on hand, which requires resources to be reallocated from producing units that could otherwise be sold to customers for on-premises use. In order to support a cloud-based business model, we also incur additional IT and personnel costs to service and manage our clusters, including managing and optimizing capacity allocations and utilization rates, as well as rely on third-party infrastructure, such as AWS for certain data transmission needs. The success of our cloud-based offering may further be impacted by our ability to obtain or maintain industry security certifications for our platform and, with respect to public sector customers, our ability to navigate factors such as budget cycles, procurement rules, eligibility criteria, and domestic preference rules. There is no assurance that investments in our cloud-based platform will lead to increased revenue as compared to other business models. In addition, we introduced our cloud-based inference offering in 2024. Such a product presents new and additional risks to us, including substantially increasing the number of users accessing our cloud, which may increase cybersecurity and compliance risk as well as risk of outages due to overcapacity or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if domestic and global economic conditions worsen, or adoption, use, and commercialization of AI technology, particularly of the large models that are currently dominating the market, do not progress as expected, overall spending may be reduced, which could adversely impact demand for our solutions in these cloud and AI infrastructure markets and we may not realize our expected growth rates. Furthermore, changes to data privacy laws regarding cross-border transmission of data, as well as customers’ data residency and data sovereignty expectations, may disproportionately impact cloud-based platforms. In such cases, we may be left with excess units in our clouds and data center leases and costs that we cannot terminate or recoup. Even if the demand for cloud and AI-related infrastructure develops in the manner or in the time periods we anticipate, if we do not have timely, competitively priced, market-accepted solutions or personnel available to timely meet our customers’ needs, we may miss a significant opportunity and our business, financial condition, results of operations, and prospects may be harmed.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If our data center providers fail to meet the requirements of our business, or if the data center facilities experience interruption, damage, or a security breach, our ability to provide access to our infrastructure and maintain the performance of our network could be negatively impacted.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lease space in or otherwise license use of third-party data centers located in the United States and Canada, and are in the process of expanding to other countries. Our business is reliant on these data center facilities. Because we lease or license use of this data center space, we do not control the operation of these third-party facilities. Consequently, we could be subject to service disruptions as well as failures to provide adequate support for reasons that are outside of our direct control. Our data center facilities and network infrastructure are vulnerable to damage or interruption from a variety of sources including earthquakes, floods, fires, power loss, environmental factors, such as air and water temperature, humidity, and dust, system failures, computer and other cybersecurity vulnerabilities, physical or electronic break-ins, human error, malfeasance or interference, including by employees, former employees, or contractors, as well as terrorist acts and other catastrophic events.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and the data center facilities we lease space in or license use of have experienced, and may in the future experience, disruptions, outages, and other performance problems due to a variety of factors, including availability or sufficiency of power, infrastructure changes, environmental factors, and capacity constraints, occasionally due to an overwhelming number of customers accessing our infrastructure simultaneously. Our third-party data centers and network infrastructure may also be subject to cybersecurity attacks, including supply chain attacks, due to the actions of outside parties or human error, malfeasance, insider threats, system errors or vulnerabilities, insufficient cybersecurity controls, a combination of these, or otherwise, which may cause service outages and otherwise impact our ability to provide our solutions and services. While we review the security measures of our third-party data centers, we cannot ensure that these measures will be sufficient to prevent a cybersecurity attack or to protect the continued operation of our platform in the event of a cybersecurity attack, and any impact to our solutions and services may also impact our business, financial condition, results of operations, and prospects.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Data center facilities housing our network infrastructure may also be subject to local administrative actions, changes to legal or permitting requirements, labor disputes, litigation to stop, limit, or delay operations, and other legal challenges, including local government agencies seeking to gain access to customer accounts for law enforcement or other reasons. The imposition of tariffs, regulatory requirements, and increased focus on data sovereignty and data localization requirements around the world could also impact our business model with respect to the storage, management, and transfer of data, and may impact where we choose to lease data centers, which can affect our opportunities for international expansion. Additionally, government authorities have in the past sought to restrict data center development based on environmental considerations and have imposed moratoria on data center development, citing concerns about energy usage, requiring new data centers to meet energy efficiency requirements. We may face higher costs from any laws requiring enhanced energy efficiency measures, changes to cooling systems, caps on energy usage, land use restrictions, limitations on back-up power sources, or other environmental requirements. Because data center agreements tend to have long terms and high upfront costs, any changes in regulations, government actions, customer preferences, or otherwise that occur after an investment is made into a data center could cause significant financial loss. In addition, while we have entered into various agreements for the lease of data center space, equipment, maintenance, and other services, those third parties could fail to deliver on their contractual obligations under those agreements, including agreements to provide us with certain data, equipment, and utilities information required to run our business. Furthermore, we require the data centers we lease to have certain highly specific attributes in order to effectively run our business. For example, these state-of-the-art data centers require networking equipment, high-speed interconnects, enhanced access to power, and liquid cooling infrastructure. In many cases, these third-party data centers are required to undergo extensive retrofitting and improvement efforts, including to incorporate novel developments in our industry, which are time consuming, expensive, and less efficient than if we were to lease spaces already designed for our operations, and which may not ultimately be successful in meeting all of our requirements. If third parties fail to successfully deliver on such performance requirements, our ability to maintain the performance of our network would be negatively impacted. In addition, if data center operators are delayed in making the facilities available to us, we may not be able to fulfill our customer contractual obligations in a timely manner, causing us financial and reputational harm.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Other factors, many of which are beyond our control, that can affect the delivery, performance, and availability of our platform include: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the development, maintenance, and functioning of the infrastructure of the internet as a whole;</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the performance and availability of third-party telecommunications services with the necessary speed, data capacity, and security for providing reliable internet access and services;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the success or failure of our redundancy systems;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the success or failure of our disaster recovery and business continuity plans;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decisions by the owners and operators of the data center facilities where our infrastructure is installed or by global telecommunications service provider partners who provide us with network bandwidth to terminate our contracts, discontinue services to us, shut down operations or facilities, increase prices, change service levels, limit bandwidth, declare bankruptcy, breach their contracts with us, or prioritize the traffic of other parties;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our ability to enter into data center agreements and leases according to our business needs and on terms and with counterparties acceptable to us;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changing regulations and customer preferences with respect to data privacy, sovereignty, and localization; and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changing sentiment by government regulators relating to data center development, including in response to public concerns regarding environmental impact and development and power costs, which may result in restrictive government regulation or otherwise impact the future construction of additional data centers.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 MRA with OpenAI and most of our customer agreements and terms of service contain service-level commitments and capacity ramp schedules. If we are unable to meet the stated service-level commitments or capacity ramp schedules due to data center downtime, performance problems, or defects, we may be contractually obligated to provide the affected customers with service credits or refunds, or be subject to breach of contract damages, which could significantly affect our results of operations in the periods in which any issues occur and the credits or refunds are applied or when damages are awarded. As a result of degradation of service and interruptions to our platform, we have provided, and may continue to provide, service credits and/or refunds to certain of our affected customers. Under the MRA, if we experience a certain level of failure with respect to such service levels, OpenAI has the right to terminate a portion of or all of the agreement. We could also face customer terminations with refunds of prepaid amounts, which could significantly affect our results of operations. Any failures to achieve or maintain the performance standards required under the MRA or other customer agreements would harm our business and result in substantial financial penalties, loss of contractual protections, customer dissatisfaction, damage to our reputation, and substantial harm to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these factors, or our inability to efficiently and cost-effectively fix such errors or other problems that may be identified, could damage our reputation, negatively impact our relationship with our customers, or otherwise materially harm our business, financial condition, results of operations,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we are unable to secure data center capacity when needed or at affordable rates, including the cost of power, or do not accurately plan for and manage our infrastructure capacity requirements, our business, financial condition, results of operations, and prospects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plan investment levels for our cloud-based offerings based on estimates of future customer demand and future anticipated rates of growth. In recent periods, our cloud services and license support expenses have grown to meet current and expected demand for our inference solutions, including investments to increase our data center capacity and to establish data centers in new geographic locations. In connection with these investments, we entered, and expect to continue to enter, into long-term lease commitments with third-party data center providers and other significant commitments with suppliers, including investments in scaling up our contract manufacturers. If we underestimate customer demand or our data center capacity needs, we may face shortages of available infrastructure, limiting our ability to support customer growth and potentially causing us to lose business to competitors. Conversely, if we overestimate customer demand or our data center capacity needs, we could be locked into multi-year commitments for excess data center space, or be required to pay significant contract termination fees to exit such obligations early. Further, we typically depreciate our assets over their estimated useful lives, which could be shortened should our inference solutions and related strategy change, which could harm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contrast to the long-term data center commitments, our customer agreements for cloud-based offerings have shorter terms, which makes it more difficult to forecast customer demand. For example, the MRA with OpenAI provides for multi-year initial capacity commitments along with potential multi-year renewal terms, but there can be no assurance that OpenAI will renew these commitments or that we will be able to fully utilize the capacity if OpenAI elects not to renew. Further, the volatility of the industry we operate in makes it difficult for us and our customers to accurately forecast needs. Data centers in geographies that we desire may also be unavailable within the timeframe we require, on commercially reasonable terms, or at all. Under the MRA, unless otherwise agreed to, we are required to deliver capacity tranches across specified numbers of data centers with minimum capacity thresholds per campus, which may constrain our flexibility in selecting data center locations and providers. We are also required to achieve certain physical and cybersecurity requirements at data centers, which could also limit the pool of available data center providers or increase our costs.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Moreover, we do not own, or have complete control over the operations of, these data centers, and they may suffer interruptions in service from events beyond our control, including from acts of government, natural events, power loss, environmental issues, human error, malfeasance or interference by third parties. Downtime or delays caused by data center providers may not excuse our service level and delivery obligations to our customers, and penalties paid by data center providers to us may not make us whole in such situations. In addition, we rely on third-party suppliers to provide equipment and components required to outfit these data centers on a timely basis, as well as contractors for services. Ongoing or future delays or the inability to meet customer demand, including failure to meet our capacity delivery obligations under the MRA, could cause the loss or delay of revenue, contractual penalties or terminations, or increase our costs, all of which could adversely affect the margins of our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global energy market is also experiencing disruption, inflation, and volatility pressures, with various macroeconomic and geopolitical factors contributing to the instability and global power shortage, including conflicts in the Middle East. Furthermore, the cost of power to run these data centers is a significant portion of the overall operating expenses. We have faced, and may continue to face, rising costs for data center energy demands. If we cannot procure power at reasonable prices or if our supply of power becomes constrained, our business, financial condition, results of operations, and prospects will be harmed. There can be no assurance that any measures taken to identify and implement cost-optimization measures for data center and power usage will be effective in reducing our costs or that the cost savings will be sufficient to offset rising energy prices.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develop our own data centers in the future, rather than relying on third parties, which may result in additional difficulties. For example, any potential expansion of our data center infrastructure would be complex, and unanticipated delays in the completion of those projects, including permitting, land and construction issues, and availability of components, may lead to increased project costs, operational inefficiencies, or interruptions in the delivery or degradation of the quality of our platform. In addition, there may be issues related to this infrastructure that are not identified during the testing phases of design and implementation, which may only become evident after we have started to fully utilize the underlying equipment, that could further degrade our platform or increase our costs. We would also have to invest in expertise in large scale infrastructure projects and hire appropriate talent that is different from our current employee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market for AI computing solutions is competitive, evolving, and requires scale, and if we do not compete effectively, our business, financial condition, results of operations, and prospects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market for AI computing solutions is highly competitive and evolving. New technologies and solutions are rapidly emerging in the markets in which we compete. With respect to hardware, we compete against semiconductor companies such as NVIDIA Corporation, a dominant market leader, Advanced Micro Devices, Inc., Intel Corporation, as well as AI accelerators developed by hyperscalers and private companies. We also compete against full-service cloud service providers such as Amazon.com, Inc. (AWS), Microsoft Corporation (Azure), Alphabet Inc. (Google Cloud Platform), and Oracle Corporation, as well as AI-optimized specialized clouds such as CoreWeave, Inc. and other neo-clouds. Certain of our competitors are also current or prospective customers. Many of these companies are large, well established, and have greater financial resources than we do. In addition, many companies, including potential customers such as, but not limited to, hyperscalers and foundation model builders, have developed or are developing their own AI computing solutions based on current or new technologies, and are using such solutions internally and monetizing them with external customers, in both instances in ways that compete with our product and service offerings. Many of our current and potential competitors benefit from competitive advantages over us, such as prominent and cutting-edge technology and software stacks designed to keep out new market entrants, greater name recognition, established developer communities, established engineering teams with key industry knowledge, longer operating histories, greater financial assets, greater ability to scale up and down with customer demand, more data center capacity and ability to purchase land to build larger and more custom data centers with lower cost of power, more varied product offerings, larger sales and marketing resources, more established relationships, including relationships and investments among AI ecosystem participants, wider geographic presence or larger, more established customer bases, more comprehensive and mature intellectual property portfolios and patent protections, a more robust supply chain, including favorable contracts with suppliers and ability to influence or fully capture our key suppliers, and other resources. These competitors may also be able to more effectively identify and capitalize upon opportunities in new markets and customer trends, be better able to secure suppliers or may have priority access to suppliers, and obtain sufficient research and development operations, design, manufacturing, and fabrication solutions, foundry and assembly and test capacity than we can, which may harm our business. Competitors with greater financial resources may be able to offer lower prices than us, or they may offer additional products, services, or other incentives that we may be unable to match. Additionally, while we compete against many parties, we also operate in a market with a dominant incumbent. This introduces a number of competitive pressures, including that it is more challenging to gain market awareness of our products, or gain market share. A dominant incumbent also has the ability to influence the direction of the market and user community in ways that are advantageous to them. In such cases, we have less visibility to be able to accurately predict the direction of the market, and such direction may not be consistent with our strengths and roadmap. If we cannot influence the AI community to engage with our offerings instead, or if we are unable to compete effectively, or are unable to convert new customers, our business, financial condition, results of operations, and prospects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customer expectations and requirements are rapidly evolving. As a result, some of our competitors may be better situated to meet changing customer needs and secure design wins. For example, our software offering is currently optimized around certain AI models, such as LLMs and multimodal vision models. Should AI model architectures significantly change, it may take us time to build out the software support, and we may lose potential or current customers and developers in the interim.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believe that our current processor design and associated software are optimized for a variety of AI and high-performance computing workloads, including our ability to continue to scale performance through investments in our current architectures, disruptive technologies in compute, including “more than Moore” technologies and innovations, have the potential to severely disrupt current computer processing technologies, including ours. While we continue to invest in advanced system and semiconductor techniques, and related software development, we may not be able to adapt our technologies, intellectual property, and expertise to such new paradigms, while our established competitors and new entrants specializing in such technologies may. If we are unable to innovate, participate in, and leverage such new fields, or if our solutions are not compatible with other AI solutions, our solutions may become obsolete, we may lose market share and customers, and our business, financial condition, results of operations, and prospects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we sell a premium solution, and our competitors’ solutions may be less expensive to purchase by certain measures, which may limit the number of customers who can or will buy our product. While the market in which we operate is evolving rapidly, as it matures, AI computing solutions may become increasingly commoditized, where many different solutions become sufficient for customer requirements. Factors that may contribute to commoditization include advances in AI compute, advances in or simplifications of AI model architectures that require less sophisticated compute, and consumer preferences, which alone or in combination with other factors may lead to price erosion. If we are unable to establish and maintain a competitive lead that supports premium pricing or offset price reductions with increased sales, our business, financial condition, results of operations, and prospects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experience discriminatory or anti-competitive practices by our competitors that may impede our growth, cause us to incur additional expense, or otherwise harm our business. For example, some of these competitors may use their market power to dissuade potential or current customers from purchasing from us or potential or current suppliers from working with us. Our competitors may also establish cooperative relationships among themselves or with third parties, make equity investments in customers and partners, or acquire companies that provide similar products or services as ours, that further their ability to create a closed ecosystem or to acquire talent. We expect this trend to continue as companies attempt to improve the leverage of growing research and development costs, and strengthen or hold their market positions in an evolving industry.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of our competitors have active merger and acquisition pipelines and are well-funded to inorganically accelerate their product development. In addition, companies that are strategic partners, vendors, or customers may acquire or form alliances with our competitors, thereby reducing their business with us. We believe that industry consolidation has and may continue to result in stronger competitors that are better able to compete as sole-source vendors for customers. There can be no assurance that we will not be forced to engage in price-cutting or margin limiting initiatives, or to increase our advertising and other expenses to attract and retain customers in response to competitive pressures. Any of these factors, alone or in combination with others, may harm our business, financial condition, results of operations, and prospects, and result in a loss of market share and an increase in pricing pressure.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broader adoption, use, and commercialization of AI technology, and the continued rapid pace of developments in the AI field, are inherently uncertain. If we are unable to expand the application of our offerings, keep up with evolving AI technology requirements, or if new offerings we develop and introduce into the market are not successful, our business, financial condition, results of operations, and prospects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success depends on our ability to attract new customers and users to our offerings, which in turn depends on the competitiveness and desirability of our offerings. AI has been developing at a rapid pace, and continues to evolve and change. As demand continues for AI services, AI providers, including our customers, have sought increased compute capacity to enable advancements in their AI models and service the demands of end users. We expect competition to increase from both existing competitors and new market entrants with products or services that may be lower priced than ours, may be better optimized than our offerings for emerging technologies, or may provide better performance or additional features not provided by our products or services. Additionally, prospective or existing customers may influence our product roadmap by requiring features optimal for their particular use case. If we are unable to adapt to meet customers’ requirements, they may use competitive offerings or internal solutions that eliminate reliance on third-party providers. Moreover, prioritizing development of such features may require significant engineering resources and may not be compatible with the requirements of other customers, which could impact overall adoption of our platform.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releasing next generation versions of existing products, our business strategy may involve introducing new offerings to the market, which are subject to different risks and uncertainties. There can be no assurance that such new offerings will be broadly accepted. For instance, we released our inference solution in 2024, and if we fail to win broad customer adoption, we will be unable to participate in a significant segment of the AI market. Our customers, in particular for our cloud-based offerings, may also not be able to accurately forecast their AI compute needs. Accordingly, we may not be able to enter into long-term contracts or even if we do, we may be asked by customers to revise contracts later if their circumstances change. If contracts are terminated, breached, or not renewed, we may have large quantities of idle systems in our cloud, that take time to resell. In addition, if market demand for high-speed inference, including for real-time, agent-based, or other similar applications, does not exist or increase as expected, our inference solution may not be successful. The competitive landscape, customer preferences, market pressures, and technical and product challenges for new products or services may be different from our existing offerings. We can provide no assurance that new product offerings will achieve success on a timely basis, or at all. Evolving legal and regulatory landscape may also influence customer preferences. For example, prospective customers may favor closed-source AI model providers who provide indemnification against copyright infringement claims as compared to open source AI models, and such biases may change as the current cohort of AI copyright-infringement litigation proceed through the courts. If our solutions do not allow us or our customers to comply with the latest regulatory requirements, sales of our solutions and services to existing customers may decrease and new customers will be less likely to adopt our offerings.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competitors use different semiconductor compute architectures, platforms, tools, and technology stacks from ours in their products and services, including some, like GPUs, that are dominant in the industry. AI model developers have and may continue to design and optimize AI models for such incumbent technologies rather than our solutions. The complexity and expense associated with our offerings generally require a lengthy customer education, evaluation, and approval process. Consequently, we may incur substantial expenses and devote significant management effort and expense to develop potential relationships that do not result in agreements or revenue and may prevent us from pursuing other opportunities. Potential customers may also be unwilling or unable to convert from legacy AI solutions to our solution, and we may be unable to attract new customers. If new technologies emerge that limit or eliminate reliance on AI cloud platform providers like us, or that enable our competitors to deliver competitive services at lower prices, more efficiently, more conveniently, or more securely, such technologies could adversely impact our ability to compete. Current customers may further be dissatisfied or stop purchasing our offerings if our products or services are not compatible with or able to be used in combination with other AI solutions, including those of our competitors.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hardware systems require data centers with sufficient power, equipment, and cooling infrastructures, which may not be readily available to us or our customers. In the case of our cloud-based offerings, customers may require our data centers to be located in certain jurisdictions for regulatory and performance reasons, which sites may not be readily available. This may cause customers to delay purchases or delay acceptance of delivery of previously purchased goods, which may harm our financial condition and results of operations, including timing of revenue recognition.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Currently, our AI computing solution is focused on accelerating training and inference for GenAI model architectures, including LLMs and multimodal vision models. Part of our success will depend on our ability to expand the application of our solution to other areas of use, such as image and video generation models, robotics models, and world models, and new AI application areas yet to be discovered, as well as new or expanded verticals. If we are unable to service and capture such use cases, we may lose market share and not be able to grow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offerings must also integrate with a variety of network, hardware, storage, infrastructure, and software technologies, such as physical integrations at the data centers and API integrations with customer products, and we need to continuously modify and enhance the capabilities of our offerings to adapt to changes and innovation in these technologies. If our customers widely adopt new technologies or change their product offerings, we may need to redesign parts of our offerings to work with those new technologies. These development efforts may require significant engineering, marketing, and sales resources, all of which would affect our business, financial condition, results of operations, and prospects. Any failure of our infrastructure’s capabilities to operate effectively with future technologies and software platforms could reduce the demand for our offerings. If we are unable to respond to these changes in a cost-effective and timely manner, our offerings may become less marketable and less competitive or obsolete, and our business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our offerings are not widely adopted, or if we are unable to successfully develop and deploy additional go-to-market methods or expand the functional areas in which our offerings compete, our business, financial condition, results of operations, and prospects may be harmed, and we will be unable to grow our business.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depend on third-party suppliers, including certain sole sources, and substantially all of our manufacturing services and components are procured on a purchase order basis without capacity or volume commitments, which may harm our ability to compete, meet customer demand, satisfy customer contracts or bring products to market, and our reputation, business, financial condition,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a fabless manufacturing model that utilizes third-party suppliers, such as a third-party wafer foundry, as well as system assembly and test service providers in a number of countries, including outside the United States. We depend on one third-party foundry, Taiwan Semiconductor Manufacturing Company Limited (“TSMC”), to manufacture our proprietary processor using its fabrication equipment and techniques. We purchase components such as servers, field-programmable gate arrays, network switches, cooling units, interconnects, and chassis, among many others, from third-party providers. Except for certain assembly, packaging, and testing steps that we perform internally, we do not assemble, test, or package our products, but instead contract with independent contract manufacturers. Most of our products are designed to be manufactured in a specific process, typically at one particular fabrication facility with particular suppliers. In addition, we source a number of the components used in our products from sole or single-source suppliers, or use a single supplier to perform certain of the processes involved in the manufacture of the products. Any dispute with a sole or single-source supplier would materially harm our ability to manufacture our products and accordingly would harm our business. In addition, some of our components, such as but not limited to our wafer, have long lead times. As a result, we are highly reliant on our suppliers, and depend on them to allocate sufficient manufacturing capacity to meet our needs, develop products of acceptable quality at acceptable yields, and deliver those products to us on a timely basis.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we do not generally have long-term capacity commitments with our suppliers, including those that are sole or single-sourced. Substantially all of our manufacturing services and component orders are currently transacted on a purchase order basis, and in many instances we negotiate pricing separately for each purchase order, with our contractors and suppliers having no obligation to perform services or supply products to us for any specific period, in any specific quantities, or at any specific price, except as may be provided in a particular purchase order. It is possible that other customers of our suppliers that are larger and better financed than we are, or have long-term agreements with these suppliers, may induce these suppliers to reallocate capacity to them, which could impair our ability to secure manufacturing, assembly, and testing capacity that we need for our products. Further, our competitors may have long-term capacity commitments with our suppliers, and our suppliers may be obligated to prioritize our competitors under these agreements when supply is limited. Our larger competitors may also leverage their market power to influence suppliers and disrupt or limit the availability of manufacturing services and components or cause fluctuations in availability and price for smaller companies in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Some of our suppliers have been delayed in delivering, or have failed to deliver, products and services to us, including due to shortages in or disruptions to the necessary supply of raw materials, components, and services, logistics and transport issues, disputes, litigation, injunction, and other legal processes, and regulatory issues. We are dependent on the availability and cooperation of our suppliers to manufacture and assemble our products, and our suppliers have not provided assurances that adequate capacity will be available to us in the future. Our suppliers, including our sole or single-sourced suppliers, may choose, for any reason or no reason, including due to a dispute or failed or stalled negotiations, to cease supplying critical components or services to us. An adverse change in any critical supplier relationship may cause us to discontinue the manufacture and deployment of our products and services, including against committed delivery dates to customers, and materially harm our business, financial condition,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our suppliers’ operations are curtailed or disrupted, or if they discontinue their business relationship with us, we may need to seek alternate sources of supply, which may not exist. The lead time needed to identify, qualify, and establish reliable production at acceptable yields with a new supplier is typically lengthy, and there is often no readily available alternative supplier. In addition, qualifying new suppliers is often expensive, and they may not develop products or provide services as cost-effectively as our current suppliers, which could harm our ability to price our products competitively while achieving our desired margin. These shortages and disruptions may, in turn, harm our ability to manufacture and timely deliver our products to our customers, and may cause us to breach our agreements with our customers. We have also had to qualify alternative suppliers and have experienced delays in delivering our products when existing suppliers no longer supported our requirements due to changes in their business. If one or more of our suppliers no longer manufactures our products, fails to perform its obligations in a timely manner or at satisfactory quality levels, is obligated to prioritize other entities in a constrained environment, or decides to discontinue their business relationship with us, our ability to bring products to market and to timely deliver products to our customers may be harmed.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if our component suppliers cease to, or become unable to, manufacture a component for us, we may also be forced to make a significant “lifetime” purchase of the affected component or part from an existing supplier, in order to enable us to meet our customer demand or to re-engineer a product. Significant lifetime purchases of such discontinued components could significantly increase our inventory and other expenses, such as insurance costs, and expose us to additional risks, such as the loss of, or damage to, products that may not subsequently be available to us from an alternative source. In any such circumstances, we may be unable to meet our customers’ demands and may fail to meet our contractual obligations and may need to redesign our products. This may result in the payment of significant damages by us to our customers and our revenue may decline, harming our business, financial condition, results of operations, and prospects. We may also have excess inventory if we overestimate the “lifetime” purchase quantity, which would result in write-offs.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are certain components in our products that require long lead times to manufacture and deliver, including the wafer for our WSE. Accordingly, we must make estimates of demand well in advance of certainty of revenue and carry sufficient working capital to pay for these and other components. In addition, the yield on components, including our wafers, is variable and thus we must account for a certain amount of waste when purchasing components. If our estimates of customer demand are ultimately inaccurate, as we have experienced from time to time, there could be a significant mismatch between supply and demand. This mismatch has in the past resulted, and may in the future result, in both product shortages and excess inventory, with a corresponding impact to our results of operations. If we underestimate our customers’ future demand for our products, our suppliers may not have adequate lead-time or capacity to increase production and we may not be able to obtain sufficient inventory to fill orders on a timely basis or in a cost-effective manner. If we fail to fulfill our customers’ orders on a timely basis, or at all, our customer relationships could be damaged, we may lose revenue and market share and our reputation may be harmed. If we overestimate our customers’ future demand, we may have excess inventory with limited or no resale value, which would harm our business, financial condition, results of operations, and prospects. To the extent we increase our manufacturing capacity to fulfill capacity forecasts, our working capital needs will also increase.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Some of our customer agreements provide for, and future customer agreements may also require, certain remedies if we do not deliver our products and services in a timely manner or by a certain date. If our third-party suppliers do not perform services or deliver components on our expected timeline, including due to force majeure or other reasons beyond their control, we may owe damages or incur other liabilities with our customers. In addition, certain of our customers prepay for hardware purchases and are entitled to refunds of such advances in certain situations.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our wafer-scale engine, a full wafer-sized processor had not previously been successfully manufactured and commercially deployed in high volumes. We worked with TSMC to develop the processes necessary to manufacture the semiconductor wafers needed for our wafer-scale engine, which involve many complexities and proprietary technologies. We are currently dependent on TSMC to produce all of the wafers that we use in our products. We have no formalized long-term supply or allocation commitments from TSMC, and TSMC also fabricates wafers for other companies, including certain of our competitors, many of whom are significantly larger than us and purchase considerably more wafers from TSMC than we do. TSMC could reduce or eliminate deliveries to us on short notice, or raise their prices to us, all of which may result in loss of revenue opportunities, damage our relationships with our customers, and harm our results of operations and gross margin. Many of our suppliers, including TSMC, are located in areas of high geopolitical tension, such as Taiwan and South Korea, or in areas prone to natural disasters, such as earthquakes and typhoons. Any substantial disruption in TSMC’s supply of wafers to us, or in the other contract manufacturing services that we utilize, as a result of a natural disaster, climate change, water shortages, political unrest, military conflict, geopolitical turmoil, trade tensions, inflation, government orders, global pandemics or health crises, economic instability, equipment failure, or other causes, may harm our business, financial condition, results of operations,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supply chain is long, complex, and global, with many interdependencies. Any significant fluctuations in supply and demand or disruption to our supply chain may harm our ability to manufacture and deliver our products to our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products depend on many different electronic components of varying complexity and raw materials, as well as software tools for the design of our products. Accordingly, our supply chain is dependent on many aspects of the global semiconductor industry, which is highly cyclical and subject to wide fluctuations of supply and demand as a result of rapid technological change, rapid product obsolescence and price erosion, evolving standards, and frequent new product introductions, among other reasons. The industry has experienced significant downturns during recent global recessions, characterized by diminished product demand, production overcapacity, and high inventory levels. Any upturn in the semiconductor industry could result in increased competition for access to suppliers. Additionally, the impact of industry-wide trends on specific segments and suppliers is difficult to predict.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products have long and complex bills of materials, with several long lead time components and single-source suppliers for certain critical components. For example, TSMC fabricates all of our wafers, and switching to a different foundry would require development of new proprietary processes and technologies, which may be expensive and increase production time. Some of our suppliers are small and are unable to accommodate fluctuations in required capacity. In other cases, our requirements represent a small portion of a supplier’s business, and therefore we may not be a priority for such supplier.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supply chain is also subject to complex and frequently changing rules and regulations regarding global trade, such as imports, exports, tariffs, and taxes, as well as the effects of U.S. and foreign government programs and initiatives regarding the semiconductor supply chain and other geopolitical forces. For example, both the United States and China have national programs directed toward influencing the future of the global semiconductor industry, and the effects of such programs on our business are not easily predictable.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 force majeure and other events beyond our and our suppliers’ control, such as the COVID-19 pandemic and natural disasters such as earthquakes in Taiwan, have in the past and may in the future result in disruption to parts of our supply chain, including difficulty procuring wafers and other necessary components in a timely fashion, with suppliers increasing lead times or placing products on allocation, requiring committed, non-cancelable purchases and raised prices. Such events may excuse performance of certain suppliers but not excuse our performance to our customers, which may cause us to incur liabilities.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Transportation disruptions, such as shortages in available cargo capacity or labor availability, changes in frequency of service, and shipping channel disruptions, may also increase delivery times and costs for materials and components to our facilities, transfers of our products to our key suppliers, and may affect our ability to timely ship our products to customers. In addition, sometimes we bear the risk of loss during transportation of components from our suppliers and products to our customers.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periods when broad fluctuations or changes in business conditions occur, it is difficult to assess the impact on our business. We have experienced substantial period-to-period fluctuations in our results of operations and expect, in the future, to experience period-to-period fluctuations in our results of operations due to these changes in business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Raw material and component price fluctuations or decreased availability of certain raw materials or components can increase the cost of our products, impact our ability to meet customer commitments, and may adversely affect our business, financial condition,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cost of raw materials and components is a key element in the cost of our products, both directly and indirectly through our suppliers. Our inability to offset material price inflation may harm our business, financial condition, results of operations, and prospects. Although we believe that sources of supply for raw materials and components are generally adequate, it is difficult to predict what effects shortages or price increases may have in the future. Our inability to meet our supply needs would jeopardize our ability to fulfill obligations under our contracts, which could, in turn, result in reduced sales and profits, contract penalties or terminations, and damage to our customer relationships. Furthermore, increases in the price of certain raw materials may result in increased production costs and may result in a decrease in our gross margins. We may choose not to, or may not be able to, pass on such price increases to our customers. In addition, because we primarily outsource manufacturing of our products, global market trends such as shortage of capacity to fulfill our fabrication needs also may increase our raw material costs and thus decrease our gross margins.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Dependency on third-party suppliers and their technology to manufacture, assemble, test, or design our products reduces our control over product quantity and quality, manufacturing yields, development, enhancement, and product delivery schedules and could harm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Except for certain assembly, packaging, and testing steps that we conduct internally, we depend on third-party suppliers to manufacture, assemble, and test our products, and utilize third-party development tools for design, simulation, and verification of new products. Further, while we primarily generate intellectual property internally, we have, on occasion, leveraged certain third parties for software development purposes. We also face several other risks related to our third-party suppliers that have adversely affected or could adversely affect our ability to meet customer demand and scale our supply chain, negatively impact longer-term demand for our products and services, and harm our business or results of operations, including:</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lack of guaranteed supply of wafer, component, and capacity or decommitment and potential higher wafer and component prices, from long lead times, incorrectly estimating demand, and failing to place orders with our suppliers with sufficient quantities or in a timely manner;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failure by our foundries or suppliers to procure raw materials or provide adequate levels of manufacturing or test capacity for our products;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failure by our foundries to develop, obtain, or successfully implement high quality process technologies, including transitions to smaller geometry process technologies such as advanced process node technologies and memory designs needed to manufacture our products;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failure by our suppliers to comply with our policies and expectations and emerging regulatory requirements;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limited number and geographic concentration of global suppliers, foundries, contract manufacturers, assembly, and test providers;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loss of a supplier and additional expense and/or production delays as a result of qualifying a new foundry or other supplier and commencing volume production or testing in the event of a loss, addition, or change of a supplier;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disputes with or among our suppliers or prospective suppliers, including with respect to intellectual property infringement or other legal and regulatory matters;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lack of direct control over product quantity, quality, and delivery schedules;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responsibility or lack of recourse for loss or damage incurred while our products are in transit;</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failure of our suppliers or their suppliers to supply high-quality products and/or making changes to their products without our qualification;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delays in product shipments, shortages, a decrease in product quality, and/or higher expenses in the event our subcontractors or foundries prioritize our competitors’ or other customers’ orders over ours;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requirements to place orders that are not cancellable upon changes in demand or requirements to prepay for supply in advance;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low manufacturing yields resulting from a failure in our product design or a foundry’s proprietary process technology;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disruptions in manufacturing, assembly, and other processes due to closures related to heat waves, earthquakes, fires, or other natural disasters and electricity conservation efforts; and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failure by our third-party software development tools to meet consumer demands for greater functionality from the design, simulation, and verification of new products or product enhancements.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complexity of our offerings could result in delays in adoption by our customers, unforeseen expense or undetected defects, bugs, or security vulnerabilities, which may harm the market acceptance of new products and services, damage our reputation with current or prospective customers, cause significant remediation expenses, and may harm our business, financial condition, results of operations, and prospects.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AI computing solutions, including both hardware and software, are highly complex to design and complicated to make, involve novel manufacturing processes, and may contain defects, bugs, or security vulnerabilities or experience failures or unsatisfactory performance due to a variety of issues, including design, fabrication, packaging, materials, or use. Our offerings may contain defects when they are first introduced or as new versions or enhancements are released, or their release may be delayed due to unforeseen difficulties during product development. We shipped our first CS-1 system in 2020 and our first CS-2 system in 2021, first introduced our CS-3 system and our inference solutions in 2024, and executed our first substantial scale-up of our data center footprint in 2025. As a result, we and our customers have not had a significant amount of time to gauge the long-term performance and reliability of our offerings. If our AI solutions, third-party components used in our products, the AI models we create or train on behalf of our customers, third-party models that we host in our cloud, or our inference output contain defects, bugs, or vulnerabilities or have reliability, quality, or compatibility problems, we may not be able to successfully design workarounds or resolve the issues in a timely manner. For example, the AI models that we host or train may not generate the responses that our customers want or expect, or may be otherwise flawed, and our inference speed or throughput may be lower than what customers desire. Any defects discovered in our offerings, or any components included in our products, prior to their shipping or release could delay our ability to deliver products or services to our customers. Further, defects in our products, services, the AI models we build or help train, or the AI models that we host, may only be discovered after a product or model has been shipped, released, or used by our customers. Our offerings may also have undiscovered vulnerabilities that could be exploited by hackers or other unscrupulous third parties who develop and deploy viruses and other malicious software programs, thereby exposing our customers to potential adverse consequences. Additionally, our hardware products may be difficult to repair in the field and may need to be shipped back to our facility for repair. Failures of our offerings to perform to specifications, including certain performance requirements with respect to service-level commitments in our customer agreements or issues caused by data center disruptions or failures, or other product defects, have caused us to incur, and could cause us to incur in the future, significant warranty, support, and repair or replacement costs, including credits or damages pursuant to our service-level commitments, and divert the attention of our engineering personnel from our product development efforts to find and correct the issue or to design workarounds. Further, issues with, or subpar performance of, AI models that we develop or help develop for customers, or that we host in our inference cloud, may require additional and unexpected personnel cost to remedy. In addition, delays in shipping or releasing products or training or hosting AI models or the discovery of an error or defect in new products or software after commencement of commercial shipment or release could harm our relationships with customers, as well as the perception of our brand, and may result in failure to achieve market acceptance of our offerings and harm our business, financial condition, results of operations,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New developments and enhancements of our offerings require significant investment. Our failure to develop new or enhanced offerings and introduce them in a timely and effective manner would undermine our competitiveness.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invested, and expect to continue to invest, significant resources in the development of our AI compute solutions, both at a hardware and software level. For example, we periodically publish software releases that may contain significant new features or improvements, which require personnel and IT resources to develop and deploy. Similarly, we periodically develop and release new versions of our hardware, including new generations of processors at smaller process nodes and systems with state-of-the-art packaging technologies, which also requires significant financial and engineering resources, including design, fabrication, assembly, and testing costs. We introduced our inference solution in 2024, which has new software and novel techniques in computation that required significant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failure to anticipate or timely adapt to changes in AI model architecture and other developments in AI technologies could result in our current and next generation products not meeting the most prevalent customer needs, leading to the loss of customers and decreased demand for our offerings. For instance, we have developed software kernels and made hardware design decisions that optimize for AI solutions built on autoregressive transformer architectures with higher compute demand. However, AI architecture is a rapidly evolving field, and the design cycles for our products can be long. Therefore, there can be no assurance that our solutions will be optimized for future AI workloads. Our solution currently integrates with the PyTorch machine learning framework to enable familiar programmability for developers. New deep-learning frameworks emerge periodically, and while we intend to evolve our solution to support those that become popular and widely adopted, we can provide no assurance that we will be able to support all such frameworks with existing or future versions of our software. Likewise, our inference solution was initially designed to support a limited set of leading third-party foundational models and our inference cloud offering is exposed via an OpenAI-compatible API solution. While we intend to expand the number of supported models and keep pace with industry leading model API, we must make decisions as to the order in which popular foundational models and other product features will be integrated into our solution. If we do not timely expand our inference solution to support models and product features that become popular within the AI community, our inference product may lose current and potential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the same time, the AI compute market is subject to rapid technological change, product obsolescence, design changes, and frequent new product introductions and feature enhancements. For example, continuous and rapid advances in semiconductor technology compel providers of compute to release new and improved products at a regular cadence. Failure to timely introduce new offerings that leverage the latest hardware and software advancements in computing or in AI may result in diminished relevance, decreased competitiveness, and loss of market share, which may harm our reputation, business, financial condition, results of operations, and prospects. We have experienced, and may continue to experience, difficulties in transitioning to next generation systems, including due to adopting advanced process node technologies and advanced packaging solutions. Our ability to generate usage of additional products by our customers may also require increasingly sophisticated, more costly and differentiated sales efforts and result in longer sales cycles. In addition, adoption of new products or enhancements may put additional strain on our customer support or compliance teams, which could require us to make additional expenditures related to further hiring and training. Further, the investment required to stay abreast of innovations in AI and AI compute, including research and development and intellectual property expenditures and capital investments, is substantial. If we allocate our resources incorrectly, we may impair our product development cycle and erode our competitive positioning. Resource constraints may also require us to discontinue existing products or services to support new offerings. The effects of such business model changes may be difficult to predict and may not be evident for a long period of time. If we choose to focus on the wrong products and services, it may harm our business, financial condition,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rapid evolutions in AI technologies and the length of our product development cycle, we must make decisions as to where to dedicate resources and develop product functionality based on our assessment of which evolving AI technologies we think are likely to become widely adopted in the future. Our ability to successfully compete and to continue to grow our business depends in significant part upon our ability to develop, introduce, and sell new and enhanced products on a timely and cost-effective basis, and to correctly anticipate and respond to changing customer requirements. If we are incorrect in our assessments, we will have expended financial and engineering resources that may not generate revenue, and which may harm our competitive position, to the extent we do not have adequate solutions for use cases that become prevalent. Lack of market acceptance for our new products for any reason could jeopardize our ability to recoup substantial research and development expenditures and may harm our reputation, business, financial condition, results of operations, and prospects.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experienced, and may experience in the future, delays and unanticipated expenses in the development and introduction of new products. A failure to develop products with required feature sets or performance standards or a delay in bringing a new product or service to market may significantly reduce our return on investment as well as our sales, all of which may harm our business, financial condition, results of operations, and prospects. Delays in the development of new products and services or product and service enhancements could also benefit our competitors and allow them to achieve greater market share. We cannot assure that our future product development efforts will be successful or result in products that gain market acceptance.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our customers do not purchase additional products from us or expand their purchases with us in the future, our business, financial condition, results of operations, and prospects could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order for us to maintain or improve our results of operations, it is important that our customers continue to purchase our offerings on similar or improved terms, and that we increase the products and services our customers purchase. Our on-premises system purchases are generally handled on a purchase order basis, and customers are not otherwise required to purchase specific or additional quantities of products from us. Likewise, our cloud solutions can be purchased by developers on a pay-as-you-go model without any long-term commitments. Even when customers agree to purchase an agreed quantity of hardware products from us, we generally do not recognize revenue until shipment or delivery, depending on shipping terms, or until we have met the contractual acceptance terms. As a result, we may not generate the amount of revenue on the timeline that we expect. Moreover, our customers’ purchasing power has, in some cases, given them the ability to make greater demands on us with regard to pricing and contractual terms. We expect this trend to continue, which we expect to adversely affect our gross margin in the near term and, should we fail to perform under these arrangements, we could also be liable for significant monetary damages. If our efforts to maintain and expand our relationships with our existing customers are not successful, our business, financial condition, results of operations, and prospects may be harmed.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sales cycles can be long and unpredictable, and our sales efforts require considerable time and expense. If our sales cycle lengthens or we invest substantial resources pursuing unsuccessful sales opportunities, our business and results of operations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results of operations may fluctuate, in part, because of the resource-intensive nature of our sales efforts, the length and variability of the sales cycle for our products, and the difficulty in making short-term adjustments to our operating expenses. The timing of our sales is difficult to predict. The length of our sales cycle, from initial evaluation to purchase of our product, can vary substantially from customer to customer. Our sales efforts involve educating our customers about the use, technical capabilities, and benefits of our solution. Customers often undertake a lengthy evaluation of our products, which may involve not only our solution but also those of our competitors. Potential customers have and may continue to request paid proof of concept trials prior to purchase, which can be time intensive for our sales and technical personnel, and use compute capacity that could otherwise have been sold. In addition, sales to large organizations and government agencies, and in highly regulated verticals, tend to take longer to conclude because such organizations typically go through a significant evaluation and lengthy negotiation process due to their size, organizational structure, and internal approval requirements, including extensive information security requirements. We may spend substantial time, effort, and money on sales efforts without any assurance that our efforts will produce any sales. As a result, it is difficult to predict if or exactly when we will make a sale to a potential customer, or if we can increase sales to our existing customers. New product developments or releases may lead to changes in the size, quantity and complexity of our customer relationships, making it more difficult for us to predict timing of our sales or the expected impact to our results of operations. If our sales cycle lengthens or we invest substantial resources pursuing unsuccessful sales opportunities, our business, financial condition, and results of operations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individual sale tends to be large as a proportion of our overall sales, which has impacted our ability to accurately forecast revenue and manage cash flows. In addition, sales have, in some cases, occurred in later quarters than anticipated, or have not occurred at all, and within each quarter, it is difficult to predict when a transaction will close. Therefore, it is often difficult to determine whether we will meet our quarterly or annual expectations until near the end of such periods. Many of our expenses are relatively fixed or require time to adjust. If expectations for our business are not accurate, we may not be able to adjust our cost structure on a timely basis, and our margins and cash flows may differ from expectations.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The estimates of market opportunity and forecasts of market growth may prove to be inaccurate, and even if the markets in which we compete achieve the forecasted growth, our business may not grow at similar rates, or at all, or we may not be able to service these markets in full.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Market opportunity estimates and growth forecasts, including third-party market research and internal estimates, are subject to significant uncertainty and are based on assumptions and estimates which may not prove to be accurate. While we believe the information on which we base our market opportunity estimates and forecasts is generally reliable, such information is inherently imprecise and particularly so for a new market such as AI. Furthermore, even if the markets in which we compete meet the size estimates and growth forecasts, our business may not grow at similar rates, or at all. For example, we are in the early stages of commercializing our solutions at its current scale, and there can be no assurance that we will be able to capture any significant part of the relevant market or have the manufacturing capacity, data center commitments or other dependencies to service the market in full. Exclusivity provisions in our customer agreements also limit our ability to service certain parties in these markets. Moreover, the market for high-speed training and inference, including real-time and agent-based systems, may not exist or increase as expected. Our growth is subject to many factors, including our success in implementing our business strategy, which has many risks and uncertainties, including those described herein. If our market opportunity estimates or growth forecasts prove to be inaccurate, our future growth opportunities may be lower than we currently expect.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Any failure to offer high-quality maintenance and support services for our customers and maintain customer satisfaction may harm our relationships with our customers and, consequently,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customers depend on our maintenance and support teams to resolve technical and operational issues with respect to our on-premises and cloud products. Our ability to provide effective customer maintenance and support is dependent on our ability to attract, train, and retain qualified personnel with AI, software programming, IT, and complex hardware maintenance experience. In particular, our hardware systems are very complex and difficult to repair in the field, with many components that are challenging and expensive to upgrade. When we sell hardware units for installation on-premises at our customers’ facilities, we may in certain circumstances provide spare units that may be used during repair downtime. Where we also provide cluster management services for hardware that we have sold, our customer agreements typically provide for service credits in the event we do not meet certain uptime requirements. Our cloud-based customer agreements may also include service credits for uptime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growth in our customer base puts additional pressure on our customer maintenance and support teams. Our customer support and cloud operations services teams may need additional personnel to respond to customer demand. We may be unable to respond quickly enough to accommodate short-term increases in customer demand for services. If we are unable to provide efficient, high-quality customer maintenance and support services or if we are unable to hire sufficient additional maintenance and support personnel in a timely or efficient manner, we may incur significant warranty, support, and repair, replacement, or service credit costs, and our business and our relationships with our customers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as we continue to grow our operations and expand outside of the United States, we need to be able to provide efficient services that meet our customers’ needs globally at scale, and our customer support and cloud operations services teams may face additional challenges, including those associated with operating the platforms and delivering support, training, and documentation in languages other than English and providing services across expanded time-zones. If we are unable to provide efficient customer support services globally at scale, our ability to grow our operations may be harmed, and we may need to hire additional services personnel, which could increase our expenses, and negatively impact our business, financial condition, operating results,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we are not able to maintain and enhance our reputation and brand recognition, our business, financial condition, results of operations, and prospects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our reputation and brand recognition is critical to our relationships with existing customers and our ability to attract new customers.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may be harmed. In addition, any factor that diminishes our reputation or that of our management, including failing to meet the expectations of our customers and public or investor perception, may make it substantially more difficult for us to attract new customers. Similarly, because our customers often act as references for us with prospective new customers, any existing customer that questions the quality of our work or that of our employees could impair our ability to secure additional new customers. If we do not successfully maintain and enhance our reputation and brand recognition with our customers, our business may not grow and we may lose these relationships, which may harm our business, financial condition, results of operations,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semiconductor and hardware system design and manufacturing processes involve numerous technical, operational, and financial risks, including challenges associated with advanced process nodes, tape-outs, and complex packaging technologies, that could delay our product roadmap, increase our costs, and adversely affect our business, financial condition,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Developing high-performance processors and systems requires us to continuously transition to more advanced process node technologies and invest in increasingly complex packaging, power delivery, cooling, and integration solutions. For example, the WSE-2 was manufactured on TSMC’s 7nm process technology and the WSE-3 on TSMC’s 5nm process technology, and we expect future products to require even more advanced nodes and packaging approaches. These transitions are essential for maintaining competitiveness but involve substantial design complexity, significant engineering resources, and difficult trade-off decisions, including the opportunity costs associated with technologies we choose not to pursue. As process and packaging technologies advance, the risks, costs, and development timelines associated with semiconductor design generally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heavily on our foundry partner, currently TSMC, for successful transitions to next generation products and for the manufacture of all of our wafers. We cannot assure you that TSMC or any future foundry partner will be able or willing to support our product transitions on the schedules we require, in sufficient volume to meet customer demand, or at all. Transitioning to another foundry would require substantial additional development effort, increase our time to market, and could introduce new technical and supply-chain risks. In addition, we have experienced, and may continue to experience, delays in securing tape-out slots and in resolving technical issues associated with new designs. Failures or delays at tape-out, which marks the finalization of a chip design prior to manufacturing, carry particularly high impact because the process requires significant engineering time, financial resources, and close cooperation with the foundry. Tape-out failures, whether due to design flaws, manufacturing defects, or process-related issues, can require restarts of the design cycle, increase costs, reduce yields, and delay product launches.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advanced wafer-scale architecture also requires continual innovation in power delivery, cooling, input/output integration, and other aspects of advanced packaging. As we push the limits of power density, thermal management, and interconnect complexity, we may encounter fundamental constraints that require new engineering solutions. If we fail to develop such solutions on the required timeline, or at all, we may be unable to meet our product-roadmap objectives or deliver next-generation products. Reduced manufacturing yields, delays in product deliveries, higher development and production expenses, or an inability to introduce competitive next-generation products could harm our customer relationships, reputation, business, financial condition, results of operations,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Issues relating to the responsible use of our technologies may result in reputational or financial harm and liability.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with many new emerging technologies, AI presents risks and challenges and increasing ethical and legal concerns relating to its responsible use that could affect the adoption of AI, and thus our business. Concerns relating to the responsible use of new and evolving technologies in our offerings may also result in reputational or financial harm and liability and may cause us to incur costs to resolve such issues. For instance, we offer AI model services in which we develop proprietary AI models with and on behalf of our customers, as well as open-source AI models that we or our customers make generally available to the community. We may not have insight into, or control over, how our customers and other third parties use or deploy the AI models that we trained or assisted in training, or that were trained using our computing solutions, or that we otherwise make available to customers. We do not control how others, including customers, use AI models that we develop or make available. We also cannot fully control how users interact with our inference solution, including whether they may breach our terms of use or that of third-party model providers with which we integrate or host. If we enable or offer AI models that draw controversy due to their perceived or actual impact on society, including, for example, AI models that have unintended consequences, infringe intellectual property rights or rights of publicity, disseminate illegal, inaccurate, defamatory, or harmful content, or are controversial because of their impact on human rights, privacy, cybersecurity, employment or other social, economic or political issues, or if we are unable to develop effective internal policies and frameworks relating to the responsible development and use of AI models, we may experience brand or reputational harm, competitive harm, financial harm, or legal liability. Complying with multiple laws, statutes, regulations, guidelines, self-regulatory frameworks, and industry standards from different jurisdictions related to AI could increase our cost of doing business, may change the way that we operate in certain jurisdictions, or may impede our ability to offer certain products and services in certain jurisdictions if we are unable to comply with applicable legal requirements. Compliance with existing and proposed government regulation of AI, including in jurisdictions such as the European Union (the “EU”), may also increase the cost of related research and development and compliance, and create additional reporting or transparency requirements. In addition, unfavorable developments with evolving laws and regulations worldwide related to AI, such as those laws that may pause or inhibit continued development or adoption of AI, may limit global adoption, reduce demand for our offerings, increase our costs to provide our offerings, impede our strategy, and negatively impact our long-term expectations in this area. For example, given the adoption of the EU’s Artificial Intelligence Act (the “AI Act”), which went into force in August 2024, and AI-related laws in the United States, including the Colorado Artificial Intelligence Act (the “Colorado AI Act”), we anticipate that there will continue to be significant developing laws and regulations with respect to AI as the AI industry continues to develop. Changes in AI-related regulation may disproportionately impact and disadvantage us and require us to change our business practices, which may harm our results of operations. Our, our customers, or others’ failure to adequately address any of the foregoing concerns or regulations relating to the responsible use of AI may undermine public confidence in AI and slow adoption of our offerings or harm our reputation or business, financial condition, results of operations,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Events outside of our control, adverse economic conditions, or economic uncertainty may harm our business, financial condition,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Disruptive and/or unpredictable global events beyond our control (such as geopolitical conflict or terrorism, including the ongoing conflicts between Russia and Ukraine and in the Middle East, global pandemics or health crises, natural disasters, or labor unrest) may increase the severity of political and economic volatility around the world, and could result in a protracted localized or widespread decrease in demand for our products. In particular, the war in the Middle East, where our strategic partners G42 and MBZUAI are headquartered, may negatively impact our business, including exposing local infrastructure and operations to heightened risk. This decrease in demand, depending on its scope and duration, could significantly impact and harm our business, financial condition, results of operations, and prospects over the short and long-term.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many of our suppliers, including our sole source of wafers, TSMC, are located in areas of high geopolitical tension, such as Taiwan and South Korea, or in areas prone to natural disasters such as earthquakes and typhoons. Similarly, the potential for military conflict between China and Taiwan could have negative impacts on the global economy, including by affecting the supply of semiconductors from Taiwan, contributing to higher energy prices and creating uncertainty in the global capital markets. Any substantial disruption in TSMC’s supply of wafers to us, or in the other supply services that we utilize, as a result of a natural disaster, climate change, water shortages, political unrest, military conflict, geopolitical turmoil, trade tensions, government orders, medical epidemics, economic instability, equipment failure or other causes, could materially disrupt our operations, may harm our customer relationships, business, financial condition, results of operations, and prospects. Further, in 2025, a significant majority of our revenue was generated from customers headquartered in the United Arab Emirates. Recent wars, political instability, and protests in the Middle East have caused significant disruptions to many industries. Conflict, political instability, and social unrest in, policy changes (including by the U.S. government as well as the governments of other countries in which we operate) with respect to, or negative public sentiment toward, the Middle East may significantly harm our business, financial condition, results of operations, and prospects.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 adverse macroeconomic conditions, including a general slowdown in the United States or global economy or in a particular region or industry, inflation, recession, changes to fiscal and monetary policy, tighter credit, higher interest rates, new or increased trade tariffs, or an increase in trade tensions with United States trading partners, may harm our business, financial condition, results of operations, and prospects. In particular, the imposition of tariffs, trade controls, border taxes, or other barriers to trade may directly or indirectly impact our business, financial condition, results of operations, and prospects. For example, the 2025 U.S. announcement of tariffs on imported goods from many countries and the announcement of retaliatory tariffs from select countries has contributed to volatility in the markets, and has and may continue to negatively impact our costs. A deterioration in economic conditions may cause our customers to reduce, delay or forego technology spending, including spending on our products. Significant inflation may increase our costs and expenses, which we may choose not, or not be able to, pass on to our customers. In addition, uncertainty about, or a decline in, global or regional economic conditions may have a significant impact on our suppliers, some of which are located outside the United States. If customers or prospective customers elect not to purchase our offerings as a result of a weak economy or rising inflation and increased costs or otherwise, or our suppliers are unable to continue supplying our products, our business, financial condition, results of operations, and prospects may be harmed. There can be no assurance that we will be able to mitigate the impacts of the foregoing or any future changes in global trade dynamics on our business. Potential effects include financial instability, inability to obtain credit to finance operations and insolvency.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Pricing for the current generation of our existing products often decreases over time, which may harm our business, financial condition,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launched the CS-3 in 2024 and no longer manufacture the CS-2. In the future, we expect to release new generations of our AI compute system, which may require us to reduce prices of then-current systems in anticipation of such releases. In addition, customers may delay purchasing an existing system, or cloud compute capacity associated therewith, in anticipation of our release of a next generation or newer, more advanced system. Our business, financial condition, results of operations, and prospects may be harmed by a decline in the pricing for the current generation of our existing products. Additionally, as competition increases in our target markets, we may need to reduce the prices of our existing products and services in anticipation of competitive pricing pressures, new product introductions by us or our competitors, new generations of such existing products, or for other reasons. If we are unable to offset any reductions in pricing for existing products by increasing our sales volumes, decreasing costs, or introducing new products or services or new product generations of such existing products with higher margins, our business, financial condition, results of operations, and prospects may be harmed. To maintain our results of operations, we must develop and introduce new products and services, next-generation products, and product enhancements on a timely basis and continually reduce our costs as well as our customers’ costs. Failure to do so may harm our business, financial condition, results of operations, and prospects.</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Risks Related to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business and operations have experienced significant growth, and if we do not effectively manage our growth, or are unable to improve our systems and processes, our business, financial condition, results of operations, and prospects will be harmed.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grown rapidly since we were founded in 2016. For example, our total headcount has grown, and we have employees located in the United States, Canada, India, and other countries. Our customer base has also grown and we expect it to continue to grow. The rapid growth and expansion of our business places a continuous and significant strain on our management, operational, and financial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manage future growth effectively, we will need to expand and improve our operating, financial, IT and other administrative systems, controls, and procedures, and continue to manage headcount expansion and capital in an efficient manner. We may not be able to successfully implement requisite improvements to these systems, processes, controls, and procedures in a timely or efficient manner. Any failure to improve our systems and processes, or their failure to operate in the intended manner, whether as a result of the significant growth of our business or otherwise, may result in our inability to manage the growth of our business or to accurately forecast our revenue, expenses and earnings, or to prevent certain losses or replace anticipated revenue that we do not receive as a result of delays arising from these factors. Moreover, the failure of our systems and processes could undermine our ability to provide accurate, timely, and reliable reports on our results of operations and financial condition and could adversely impact the effectiveness of our internal controls over financial reporting. In addition, our systems and processes may not prevent or detect all errors, omissions, or fraud. Accordingly, our results of operations in future reporting periods may be below the expectations of investors.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will also face increased compliance costs associated with growth and the expansion of business, particularly as we expand into new countries, if the number of our government customers increases, and as a public company. We have encountered and expect to continue to encounter additional risks and difficulties frequently experienced by growing companies in rapidly changing industries, including effectively managing increasing expenses, and allocating valuable financial and other resources as we continue to grow our business. If we do not manage these risks successfully, our business, financial condition, results of operations, and prospects will be harmed.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are subject to the risks associated with conducting business operations outside the United States, which may harm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our U.S. operations, we also have international operations. We have foreign subsidiaries in Canada and India, and a smaller number of employees in several other countries, including the United Arab Emirates. In addition, we are planning to expand our data center locations to multiple geographies. We also on occasion provide services at our customers’ facilities, including those not located in the United States, and engage in sales and marketing efforts in many foreign jurisdictions. International activities are subject to the uncertainties associated with international business operations, including global laws and regulations, economic sanctions, tax laws and regulations, privacy laws, export and import regulations, duties, tariffs, and other trade restrictions and barriers, changes in trade policies, anti-corruption laws, foreign governmental regulations, potential vulnerability of and reduced protection for intellectual property, and our ability to acquire and retain local employees, any of which may harm our business, financial condition, results of operations, and prospects. Our business, financial condition, results of operations, and prospects may also be harmed in the event of political conflicts, economic crises, wars, or other changes in international relations affecting countries where our subsidiaries, manufacturers, suppliers, and customers are located.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deterioration in relations between the United States and any country in which we have significant operations or sales, or the implementation of government regulations in such a country, may result in the adoption or expansion of trade restrictions, including economic sanctions and export license requirements, that may harm our business.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plan to expand our international operations, including to jurisdictions where we have limited operating experience and may be subject to increased business and economic risks that may harm our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plan to continue the international expansion of our business operations. We may enter new international markets where we have limited or no experience in marketing, selling, and deploying our offerings. If we fail to deploy or manage our operations in these countries successfully, our business and operations may suffer. In addition, we are subject to a variety of risks inherent in doing business internationally, including:</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political, social, and/or economic instability, including as a result of the ongoing conflicts between Russia and Ukraine and in the Middle East;</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risks related to governmental regulations in foreign jurisdictions and unexpected changes in regulatory requirements and enforcement;</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existing trade laws and regulations, including those related to exports and deemed exports of U.S. technology;</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changes in trade relationships, including the imposition of new trade restrictions and sanctions, trade embargoes, trade protection measures, export or import requirements, entity lists, tariffs, quotas, and other trade barriers and restrictions, including those related to the ongoing trade disputes between China and the United States;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fluctuations in currency exchange rates;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higher levels of credit risk and payment fraud;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enhanced difficulties of integrating any foreign acquisitions;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burdens of complying with a variety of foreign laws;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reduced protection for intellectual property rights in some countries and practical difficulties in enforcing intellectual property and other rights outside the United States;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difficulties in staffing and managing global operations and the increased travel, infrastructure and legal compliance costs associated with multiple international locations and subsidiaries;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new and different sources of competition;</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different regulations and practices with respect to employee/employer relationships, existence of workers’ councils and labor unions, and other challenges caused by distance, language, and cultural differences, making it harder to do business in certain international jurisdictions;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different regulations and practices with respect to real property, data center leases, power and utilities, and environmental matters;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compliance with statutory equity requirements; and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management of tax consequences.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unable to manage the complexity of our global operations successfully, our results of operations and financial condition may be harmed.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business and ongoing expansion depend on attracting and retaining qualified personnel, especially our engineering and technical personnel.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success depends in large part on our ability to attract and retain highly qualified personnel. We strive to employ talented engineering and technical personnel, as well as effective sales, marketing, finance, and support employees, all of which are in high demand. Maintaining our brand and reputation, as well as a diverse and inclusive work environment that enables all our employees to thrive, is important to our ability to recruit and retain employees. There is intense competition for highly qualified technologists in the AI industry, particularly in the San Francisco Bay Area, where our headquarters are located, as well as in Toronto, Canada and in Bangalore, India, where we also have offices. We use various measures, including offering competitive salaries and benefits and an equity incentive program, to attract and retain the personnel we require to operate and grow our business effectively. However, these measures may not be sufficient, and our employees may decide not to continue working for us and leave us with little or no notice. Many of our competitors are significantly larger than we are, with greater financial resources and publicly traded stock, and may be able to offer more attractive compensation packages than we can, particularly with regard to equity compensation. As a result, it may be difficult for us to continue to retain and motivate these employees, and the value of their holdings could affect their decisions about whether or not they continue to work for us. Our ability to attract, retain and motivate employees may be adversely affected by declines in the price of our Class A common stock. If we issue significant equity to attract employees or to retain our existing employees, we would incur substantial additional stock-based compensation expense and the ownership of our existing stockholders would be further diluted. In addition, some of our employees are employed with us on temporary work visas, and any change in U.S. or other countries’ immigration laws affecting their status or such visas may make it difficult to retain such individuals or hire new personnel. The loss of even a few qualified employees, or an inability to attract, retain and motivate additional highly skilled employees could harm our ability to develop and sell our products, as well as our results of operations, and impair our ability to expand and grow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If we fail to attract new personnel, or to retain and motivate our current personnel, our business, financial condition, results of operations, and prospects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loss of one or more members of our senior management team could harm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currently depend on the continued services and contributions of our senior management team, particularly the services of our co-founders. The members of our senior management team and co-founders are at-will employees, which means that each person could resign or could be terminated for any reason at any time. Members of our senior management team are critical to the management of our company and instrumental in the development of our technology and our strategic direction, and should one or more of such persons stop working for us for any reason, it is unlikely that we would be able to immediately find a suitable replacement. We also do not maintain any key person life insurance policies. The loss of the services of any of them, other members of senior management, or members of our senior technology personnel, could disrupt our operations, hamper our ability to implement our business strategy, and harm our business, financial condition, results of operations,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seek to expand our business through the acquisition of complementary businesses or technologies. Any future acquisitions and investments may disrupt our business and harm our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seek to expand our business and the products and services we offer, or our employee base through the acquisition of complementary businesses and technologies. We also may enter into relationships with other businesses to expand our platform, which could involve preferred or exclusive licenses, additional channels of distribution, discount pricing, or investments in other companies. Negotiating these transactions can be time-consuming, difficult, and expensive, and our ability to close these transactions may be subject to approvals that are beyond our control, including approvals related to foreign investments and acquisitions. In addition, we have not previously acquired another business. Even if we are able to identify a suitable acquisition or investment target, we may not be able to complete the acquisition on commercially reasonable terms or at all. We may expend a significant amount of time and incur significant out-of-pocket costs, as well as divert management attention, in connection with an acquisition that is not ultimately completed. If an acquired business fails to meet our expectations, our business, financial condition, results of operations, and prospects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event we do consummate an acquisition, we face a number of risks as a result, including:</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diversion of management time and focus;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coordination of research and development and sales and marketing functions;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retention and motivation of key employees from the acquired company;</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cultural challenges associated with integrating employees from the acquired company;</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integration of the acquired company’s accounting, management information, human resources, and other administrative systems and processes;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difficulty achieving the anticipated synergies of the transaction;</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liability for activities of the acquired company before the acquisition, including intellectual property infringement, violation, or misappropriation claims, violations of laws, commercial disputes, tax liabilities and other known and unknown liabilities; and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litigation or other claims in connection with the acquired company, including claims from terminated employees, users, former stockholders or other third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failure to address these risks or other problems encountered in connection with acquisitions could cause us to fail to realize the anticipated benefits of these acquisitions, cause us to incur unanticipated liabilities and harm our business generally. Future acquisitions could also result in dilutive issuances of our equity securities, the incurrence of substantial amounts of debt, which could have terms that impose significant restrictions on our business, contingent liabilities, amortization expenses, incremental operating expenses, or the impairment of goodwill, any of which may harm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business is subject to the risks of earthquakes, fire, power outages, floods, and other natural disasters and catastrophic events, and to interruption by man-made problems such as war and terrorism.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significant natural disaster or other catastrophic event, such as an earthquake, fire, flood, power outage, telecommunications failure, cyber-attack, war, terrorist attack, sabotage, other intentional acts of vandalism or misconduct, geopolitical event, pandemic, or other public health crisis, or other catastrophic occurrence may harm our business, financial condition, results of operations, and prospects. Our principal corporate offices and a significant number of our employees, as well as data centers in which we have deployed our products, are located in the San Francisco Bay Area, a region known for seismic activity. Geopolitical changes between China and Taiwan could also disrupt the operations of our Taiwan-based third-party wafer foundry and other suppliers, negatively impact delivery of products, and harm our business, financial condition, results of operations, and prospects. Furthermore, escalation of geopolitical tensions, including as a result of escalations in the ongoing conflicts between Russia and Ukraine and in the Middle East, could impact our business, especially given our customer concentration and personnel in the United Arab Emirates. These conflicts could also have a broader impact that expands into other markets where we do business, which may harm our business, vendors, partners, customers, or the economy as a whole. Despite any precautions we may take, the occurrence of a natural disaster or other unanticipated problems could result in lengthy interruptions in our services or disruptions in our activities or the activities of our suppliers, manufacturers, partners, customers, or the economy as a whole. All of the aforementioned risks may be further increased if our disaster recovery plans prove to be inadequate. We do not carry business interruption insurance sufficient to compensate us for the potentially significant losses, including the potential harm to our business that may result from interruptions in our ability to provide our products and services. Any such natural disaster or man-made problem may harm our business, financial condition, results of operations, and prospects.</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Risks Related to IT Systems, Cybersecurity, and Intellectual Property</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business is dependent upon the proper functioning of our internal business processes and IT systems, including those in our data centers, and modification or interruption of such systems may disrupt our business, processes, and internal controls.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on a number of internal business processes and IT systems to support key business functions, including our supply chain and inventory management systems, and the efficient operation of these processes and systems is critical to our business. Our business processes and IT systems need to be sufficiently scalable to support the growth of our business and may require modifications or upgrades that expose us to a number of operational risks. As such, our IT systems will continually evolve and adapt in order to meet our business needs. These changes may be costly and disruptive to our operations and could impose substantial demands on management time. These changes may also require changes in our IT systems, modification of internal control procedures and significant training of employees and third parties, as well as other resources. We continuously work on simplifying our IT systems and applications through consolidation and standardization efforts. There can be no assurance that our business and operations will not experience any disruption in connection with this transition. Our IT systems, and those of our third-party IT providers or business partners, may also be vulnerable to damage or disruption caused by circumstances beyond our control including catastrophic events, power anomalies or outages, natural disasters, viruses or malware, cyber-attacks, insider threat attacks, unauthorized system or data modifications, data breaches and computer system or network failures, exposing us to significant cost, reputational harm and disruption or damage to our business. In addition, as our IT environment continues to evolve, we are embracing new ways of communicating and sharing data internally and externally with customers and partners using methods such as mobility and the cloud that can promote business efficiency. However, these practices can also result in a more distributed IT environment, making it more difficult for us to maintain visibility and control over internal and external users, and meet scalability and administrative requirements. If our security controls cannot keep pace with the speed of these changes or if we are not able to meet regulatory and compliance requirements, or if we are unable to address any of the concerns described above, our business, financial condition, results of operations, and prospects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Any failure of our IT systems or those of one or more of our IT service providers, business partners, vendors, suppliers, or other third-party service providers, including data center providers, or any other failure by such third parties to provide services to us may negatively impact our relationships with customers and harm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various IT systems and outsourced IT services. We rely on third-party IT service providers, business partners, vendors, suppliers, and cloud-based service providers to provide critical IT system, corporate infrastructure, and other services and are, by necessity, dependent on them to adequately address cybersecurity threats to, and other vulnerabilities, defects, or deficiencies of or in their own systems. This includes infrastructure such as electronic communications, finance, marketing, and recruiting platforms and services such as IT network development and network monitoring, and third-party data center hosting of our systems for our internal and customer use. We do not own or control the operation of the third-party facilities or equipment used to provide such services. Our third-party vendors and service providers have no obligation to renew their agreements with us on commercially reasonable terms or at all. If we are unable to renew these agreements on commercially reasonable terms, including with respect to service levels and cost, or at all, we may be required to transition to a new provider, and we may incur significant costs and possible service interruption in connection with doing so. In addition, such service providers could decide to close their facilities or change or suspend their service offerings without adequate notice to us. Moreover, any financial difficulties, such as bankruptcy, faced by such vendors or cloud-based service providers, the nature and extent of which are difficult to predict, may harm our business. Since we cannot easily switch vendors and cloud-based service providers, any disruption with respect to our current providers would impact our operations and our business may be harmed. Furthermore, our disaster recovery systems and those of such third parties may not function as intended or may fail to adequately protect our business information in the event of a significant business interruption. Any termination, failure, or other disruption of any of such systems or services of our third-party IT providers, business partners, vendors, suppliers, and cloud-based service providers could lead to operating inefficiencies or disruptions, which could harm our business, financial condition, results of operations,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Product, IT system security, network, and data protection breaches, as well as cyber-attacks, incidents, or other unauthorized access to, or disclosure or other processing of, our proprietary, confidential, or sensitive information, including personal information, may disrupt our operations, reduce our expected revenue, increase our expenses, and harm our business and reputation.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and our third-party providers collect, store, and otherwise process confidential and sensitive information, including personal information about individuals such as our employees and customers as well as proprietary business information and intellectual property. We also process training and inference data provided to us by our customers and users, which may include personal information. This data, including the personal information, is processed on our IT systems as well as those provided by certain third-party providers upon whom we rely for critical services such as cloud-based infrastructure, encryption and authentication technology, employee email and other functions.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and our providers face various evolving cybersecurity risks that threaten the confidentiality, integrity, and availability of our IT systems and data, including sensitive, proprietary, and personal information, that we process or that is processed on our behalf. These risks include physical or electronic break-ins, security or cybersecurity breaches, incidents and disruptions, computer malware, social-engineering attacks/phishing, ransomware, denial-of-service attacks, employee theft, misuse, or other malfeasance by insiders, human or technological error (such as software bugs, server malfunctions, hardware, or software failures), loss of data or other IT assets, and other cyber-attacks by threat actors.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Individuals, groups of hackers, and sophisticated organizations, including nation-states and nation-state-supported actors, terrorists, criminals, competitors, and other threat actors, have engaged and are expected to continue to engage in cyber-attacks. The techniques employed in such attacks (such as the use of emerging AI technologies), which we may not recognize until launched against a target or which may be difficult to discover for an extended period, change frequently and are becoming increasingly sophisticated, making it more difficult to successfully detect, defend against them or implement adequate preventative measures. We may also experience cybersecurity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Such cyber-attacks and other cybersecurity breaches, incidents, or disruptions may continue to evolve in frequency, sophistication, and volume, and may be difficult to detect for long periods of time. Any of the foregoing breaches, incidents, or disruptions may compromise our networks, IT systems, or applications, or the data collected or processed on such systems, causing interruptions, delays, loss, or other operational malfunctions, which in turn could harm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aspects of effective cybersecurity are dependent upon our employees, contractors, or other third-party service providers safeguarding our sensitive information and adhering to our security policies and access control mechanisms, and we may face cybersecurity threats due to error or intentional misconduct by such employees, contractors, or other third-party service providers. Remote and hybrid working arrangements at our company (and at many third-party providers) also increase cybersecurity risks due to the challenges associated with managing remote computing assets and security vulnerabilities that are present in many non-corporate and home networks. Additionally, due to geopolitical conflicts and during times of war or other major conflicts, we and the third parties we rely upon may be vulnerable to a heightened risk of cyber-attacks that could materially disrupt our ability to provide services and products.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Like many other companies, we and our third party providers have in the past, and may experience in the future, actual or attempted security incidents, cyber-attacks, or other unauthorized access to, or disclosure or other processing of, our proprietary, confidential or sensitive information, including arising from a failure to properly handle IT systems and the data that is processed through them, including personal information, or to adhere to our security policies and access control mechanisms and, although no such events have had a material adverse effect on our business to date, there can be no assurance that we will not have a materially adverse incident in the future. To defend against security incidents, we must continuously engineer more secure products and enhance security and reliability features. We must also continue to develop our security measures, including training programs and security awareness initiatives, as well as vendor management processes, designed to ensure that we and our suppliers have appropriate security measures in place, and continue to meet the evolving security requirements of our customers, applicable industry standards, and government regulations. While we invest in training programs and security awareness initiatives and take steps to detect and remediate vulnerabilities, we may not always be able to prevent threats or detect and mitigate all vulnerabilities in our security controls, systems, or software, including third-party software we have installed, as such threats and techniques change frequently and may not be detected until after a security incident has occurred.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cannot guarantee that third parties and infrastructure in our supply chain or our partners’ supply chains have not been compromised or that they do not contain exploitable vulnerabilities, defects, or bugs that could result in a breach of or disruption to our IT systems, including our products and services, or the third-party IT systems that support our services. We may also incorporate third-party data into our AI algorithms or use open-source datasets to train our algorithms. These datasets may be flawed, insufficient, or contain certain biased information, contain information (including intellectual property and confidential, proprietary, or personal information) for which the third party did not have appropriate rights, and may otherwise be vulnerable to security incidents, or negatively affect safety, security, and other functioning of our AI compute solutions. We may have limited insight into the data privacy or security practices of third-party suppliers, including with respect to our AI models. Our ability to monitor these third parties’ information security practices is limited, and they may not have adequate information security or legal compliance measures in place or sufficient rights in the underlying data to make them available. In addition, if one of our third-party suppliers suffers a security incident, our response may be limited or more difficult because we may not have direct access to their systems, logs and other information related to the security incident. Finally, we may experience delays in developing and deploying remedial measures designed to address identified vulnerabilities on our IT systems or those of our third-party providers. These vulnerabilities could, if exploited, result in a security incident.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Actual or perceived breaches of our security measures or unapproved access to our dissemination of proprietary, confidential, or sensitive information, including personal information, about or by us or third parties, could expose us and the parties affected to a risk of loss, or misuse of this information, potentially resulting in litigation (including class actions) and subsequent liability, regulatory inquiries or actions including potential penalties and fines, additional reporting requirements or other oversight, restrictions on processing data, indemnification obligations, being required to provide credit monitoring or identity-theft prevention services, diversion of funds, diversion of management attention, financial loss, loss of data, material disruptions in our systems and operations, supply chain, and ability to produce, sell and distribute our offerings, damage to our brand and reputation or erosion of confidence in the effectiveness of our security measures, or significant incident response, system restoration or remediation, and future compliance costs or other harms, which may harm our business, financial condition, results of operations, and prospects. Applicable data privacy and security obligations may also require us to notify relevant stakeholders, including affected individuals, customers, regulators, and investors, of security incidents, and investigations into and mandatory disclosures with respect to such incidents could be costly and lead to negative publicity.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our insurance policies include liability coverage for certain of these matters, subject to retention amounts that could be substantial, if we experience a significant security breach, incident or disruption,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Failure to obtain, maintain, protect, or enforce our intellectual property rights could harm our brand, business,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regard the protection of our intellectual property as critical to our success. We strive to protect our intellectual property rights by relying on a combination of patent, trademark, trade secret, copyright, unfair competition and other related laws in the United States and internationally as well as confidentiality procedures and contractual provisions to protect and establish our rights in our intellectual property, including our proprietary technologies and know-how. We spend significant resources to monitor and protect our intellectual property rights, including monitoring the unauthorized use of our products, but even with significant expenditures, we may not be able to protect the intellectual property rights that are valuable to our business. In particular, we are unable to predict or assure that: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our intellectual property rights will not lapse or be invalidated, circumvented, challenged, or, in the case of third-party intellectual property rights licensed to us, be licensed to others;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our intellectual property rights will provide competitive advantages to us;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rights previously granted by third parties to intellectual property licensed or assigned to us, including portfolio cross-licenses, will not hamper our ability to assert our intellectual property rights or hinder the settlement of currently pending or future disputes;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any of our pending or future patent, copyright, or trademark applications will be issued or have the coverage originally sought;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we will be able to enforce our intellectual property rights in certain jurisdictions where competition is intense or where legal protection may be weak; or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we have sufficient intellectual property rights to protect or continue to offer our offerings or operate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pursue the registration of our patents, trademarks, service marks, and domain names in the United States and in certain foreign jurisdictions. We cannot guarantee that any current or future pending patent applications will be issued to have the coverage originally sought, and even if the pending patent applications are granted, the rights granted to us may not be meaningful or provide us with any commercial advantage. Additionally, our patents could be opposed, contested, narrowed, circumvented, challenged, abandoned, or designed around by our competitors or be declared invalid or unenforceable in judicial or administrative proceedings. The patent prosecution process is expensive, time-consuming, and complex, and we have not in the past, and may not in the future be able to file, prosecute, maintain, enforce, or license all necessary or desirable patent applications at a reasonable cost or in a timely manner. Since we may not have sufficient resources or capital to pursue patent registration for our patentable technology, our competitors could gain a competitive advantage if we fail to adequately protect such technologies as trade secrets such that a competitor could develop similar technologies and pursue and obtain patent registration for those technologies that would exclude us from continuing to use the patented technology, even if the technology was initially proprietary to us.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and as a result we can give no assurance that any patents that we have issued or may have issued in the future will protect all significant aspects or components of our current and future products or services, will provide us with any competitive advantage, or will not be challenged, invalidated or circumvented in the future. Furthermore, we may not be able to obtain or maintain patent applications and issued patents due to the subject matter claimed in such patent applications and issued patents being in disclosures in the public domain. In addition, when patents expire, we lose the protection and competitive advantages they originally provided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we believe that our success also depends on the technical expertise we have developed in designing, testing, and manufacturing products, and we rely on confidential and proprietary information to develop and maintain our competitive position. As a result, we also typically enter into confidentiality and invention assignment agreements with our employees, contractors, and business partners in order to limit access to, and disclosure and use of, our proprietary information. However, we cannot guarantee we have entered into such agreements with each party that has or may have had access to our trade secrets, confidential or proprietary information, or technology, including our AI offerings. Even if entered into, these contractual arrangements and the other steps we have taken to protect our intellectual property may not prevent the misappropriation, infringement, violation, dilution, or disclosure of our confidential or proprietary information or technology, including our AI solutions, trade secrets, or intellectual property rights, or deter independent development of similar or competing technologies by others. We have entered into, and may continue to enter into, co-development or collaboration agreements with vendors, customers, and partners where we collaborate closely with such counterparty and may expose our intellectual property to such counterparty or be exposed to their intellectual property. While such agreements may contemplate the allocation of risk and ownership of intellectual property that may be jointly, or appear to be jointly, conceived, we and our counterparty may dispute how such provisions are applied to specific facts or tightly integrated products. Such disputes may lead to litigation, injunctions, or other legal proceedings, and harm our intellectual property rights and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Obtaining and maintaining effective intellectual property rights, including the costs of defending our rights is expensive. We have obtained a number of provisional and issued patents, and are seeking additional patent protection, and to register our trademarks and domain names in the United States and in certain foreign jurisdictions. These processes are expensive and may not be successful in all jurisdictions or for every such application, and we may not pursue such protections in all jurisdictions that may be relevant. Further, effective intellectual property protections may not be available in every country in which we offer our products or services, and even where present, the laws of such countries may not recognize intellectual property rights or protect them to the same extent as their equivalents in the United States. Additionally, any changes in, or unexpected interpretations of, intellectual property laws may compromise our ability to enforce our trade secret and intellectual property rights. Any of the foregoing could make it difficult for us to stop the infringement, misappropriation, dilution, or other violation of our intellectual property or marketing of competing products or services, and any failure to obtain or maintain adequate protection of our trade secrets or other intellectual property rights may harm our competitive position and may harm our business, financial condition,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Litigation may be necessary to enforce our intellectual property rights, protect our proprietary rights, or determine the validity and scope of proprietary rights claimed by others. Any actual or threatened litigation of this nature, regardless of outcome or merit, could result in substantial costs and diversion of management and technical resources, any of which may harm our business, financial condition, results of operations, and prospects. In addition,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may harm our brand and our business. There may be potential trade name or trademark infringement claims brought by owners of other trademarks that are similar to our trademarks, and as a result, we may incur significant costs in enforcing our trademarks against those who attempt to imitate the “Cerebras” brand and other valuable trademarks and service marks. If we fail to maintain, protect, and enhance our intellectual property rights, our brand, business, and results of operations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may acquire companies with intellectual property that is subject to certain licensing obligations or restrictions. These licensing obligations may extend to our own intellectual property following any such potential acquisition and may limit our ability to assert, protect, enforce, or otherwise use our intellectual property rights. From time to time, we may pursue litigation to assert our intellectual property rights, including, in some cases, against our customers and suppliers, where we believe they have infringed, misappropriated, or otherwise violated any of our intellectual property rights. Conversely, third parties have in the past pursued and may in the future pursue intellectual property litigation against us. Claims of any of the foregoing could also harm our relationships with our manufacturers and customers and might deter future manufacturers and customers from doing business with us. Furthermore, an adverse decision in any such legal action may result in material expense and limit our ability to assert or enforce our intellectual property rights and limit the value of our products and services, which may otherwise harm our business, financial condition, results of operations,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ability to design and introduce new offerings in a timely manner includes the use of certain third-party intellectual property.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design and development of new and enhanced offerings, including AI computing solutions, we rely on certain third-party intellectual property, such as development and testing tools for certain hardware and software. Further, we have, on occasion, leveraged third parties for software development and have partnered with vendors on aspects of hardware and process development. Furthermore, certain of our product features may rely on intellectual property acquired from third parties that incorporate into our hardware or software. The design requirements necessary to meet customer demand for more features and greater functionality from semiconductor products may exceed the capabilities of the third-party intellectual property or development or testing tools available to us. If the third-party intellectual property that we use becomes unavailable, is not available with required functionality or performance in the time frame or price point needed for our new products or fails to produce designs that meet customer demands, or laws are adopted that affect our use of third party intellectual property in certain regions or products, our business, financial condition, results of operations, and prospects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may face claims of intellectual property infringement, misappropriation, dilution, or other violations, which could be time-consuming or costly to defend or settle, result in the loss of significant rights or harm our relationships with our customers or reputation in the industry.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Third parties have in the past, and may in the future, assert against us their patent and other intellectual property rights to technologies or information that are used in or are important to our business, which may be time consuming and costly to defend or settle, and may result in lengthy trials and injunctions that limit our ability to sell our products and conduct our business. We have in the past received, and may receive in the future, particularly as a public company with an increased profile and visibility, communications from others alleging our infringement, misappropriation, dilution, or other violation of intellectual property rights. Intellectual property claims may be asserted by third parties, vendors, customers, or partners, and may be asserted against us directly or against our vendors, customers, or partners. Claims against our vendors may also lead to infringement exposure of our products, and claims against our customers may lead to indemnification claims, which are often uncapped. In addition, in the event that we recruit employees or contractors from other companies, including certain potential competitors, and these employees or contractors are involved in the development of products that are similar to the products they assisted in developing for their former employers, we may become subject to claims that such employees or contractors have used or disclosed trade secrets or other proprietary information in an unauthorized manner. We may also in the future be subject to claims by our third-party suppliers, employees, or contractors asserting an ownership right in our issued patents, pending patent applications or other intellectual property, including our AI solutions, as a result of the work they performed on our behalf, or claims for indemnification by our customers who are subject to infringement or other claims by third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While we do not license for profit, sell access to, or otherwise derive revenue directly from the use of AI models, we have trained AI models on publicly available datasets, similar to many other developers of AI models, and released certain of such models to the community under certain open-source licenses. We also provide AI model services to our customers, where we leverage our expertise to help customers train their models with architectures, parameter sizes, and data sets and types of their choosing, which may include publicly available or proprietary data sets or a combination of both. The act of such training necessarily involves transmission and use of certain data on our systems. Like other developers of AI models who are subject to litigation and other disputes arising from the training, fine-tuning, use, or development of AI models, we are currently (see Note 16 - Commitments and Contingencies to our unaudited condensed consolidated financial statements included elsewhere in this Quarterly Report on Form 10-Q) and may in the future be subject to lawsuits alleging that we reproduced, copied, displayed, distributed, or made derivative works of, or otherwise misused copyrighted materials to train our or our customers’ AI models without the authorization of the relevant copyright owners, or otherwise infringed third-party proprietary rights in training data, including rights of publicity. However, this remains an unsettled area of U.S. law and U.S. courts are currently weighing a number of lawsuits involving claims that the reproduction of data for training AI models, or the use of AI models trained on copyrighted data, infringes the rights of copyright holders. In addition, we have and may continue to fine-tune certain third-party AI models. While we believe we are in compliance with the applicable license terms of such models, the interpretation of such licenses may vary, and we may be subject to claims that we have violated the terms of such licenses.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Claims that our offerings or processes infringe, misappropriate, dilute, or otherwise violate third-party intellectual property rights, regardless of their merit or resolution, could be time-consuming or costly to defend or settle and could divert the efforts and attention of our management and technical personnel. Infringement claims also could harm our relationships with our customers and might deter future customers from doing business with us. We do not know whether we would prevail in these proceedings given the complex technical issues and inherent uncertainties in intellectual property litigation. If any pending or future proceedings result in an adverse outcome, we could be required to: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cease the manufacture, use, or sale of the infringing offerings or processes;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pay substantial damages for infringement, misappropriation, dilution, or other violation, including enhanced damages for any willful infringement;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expend significant resources to develop non-infringing offerings or processes, which may not be successful;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license certain components or data from the third-party claiming infringement, which license may not be available on commercially reasonable terms, or at all;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cross-license our offerings to a competitor to resolve an infringement claim, which could weaken our ability to compete with that competitor; or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pay substantial damages to our customers or end-users to discontinue their use of or to replace infringing product or process sold to them with non-infringing offerings or processes, if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even if successful in any such proceedings, our rights in our offerings and other intellectual property may be invalidated, encumbered, narrowed, or otherwise diminished. Moreover, there could be public announcements of the results of hearings, motions, or other interim proceedings or developments, and if securities analysts or investors perceive these results to be negative, it could have a substantial adverse effect on the price of our Class A common stock. Any of the foregoing results may harm our business, financial condition, results of operations, and prospects. Litigation against our customers as a result of third-party claims of intellectual property infringement could trigger indemnification obligations under some of our agreements, which could result in substantial expense to us, and which may materially harm our business, financial condition, results of operations,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Certain of our intellectual property has been and may be developed under research agreements with U.S. government entities, and may be subject to federal regulations that limit our exclusive rights in certain circumstances.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of our intellectual property that generally pertains to applications outside of our offerings in the AI computing market has been and may be developed under contracts with U.S. government entities. As a result, the U.S. government may have certain rights to intellectual property that we use in our current or future products pursuant to the Bayh-Dole Act of 1980, as amended (the “Bayh-Dole Act”) or as otherwise required by our contractual arrangements. Under the Bayh-Dole Act, U.S. government rights in certain “subject inventions” developed under such contracts include a nonexclusive, non-transferable, and irrevocable worldwide license to use inventions for any governmental purpose. In addition, the U.S. government has the right to require us, or an assignee or exclusive licensee to such inventions, to grant licenses to these inventions to the U.S. government or a third party if the U.S. government determines that: (i) adequate steps have not been taken to commercialize the invention; (ii) government action is necessary to meet public health or safety needs; (iii) government action is necessary to meet requirements for public use under federal regulations; or (iv) the right to use or sell such inventions is exclusively licensed to an entity within the United States and substantially manufactured outside the United States without the U.S. government’s prior approval. We may lose exclusivity to our intellectual property rights if we fail to comply with reporting obligations regarding subject inventions, fail to file for patent protection within specified time limits, or fail to comply with other relevant Bayh-Dole Act restrictions. If any of our intellectual property becomes subject to the rights or remedies available to the U.S. government or third parties pursuant to the Bayh-Dole Act or related contractual arrangements, the value of our intellectual property may be impaired and our business may be harmed.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use of third-party open-source software may pose risks to our proprietary software and services in a manner that may harm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of our software, as well as that of our vendors or partners, may use or be derived from “open-source” software that is generally made available to the public by its authors or other third parties. Some open-source software licenses require end-users, who use, distribute or make available across a network software and services that include open-source software, to make publicly available or to license at no cost all or part of such software (which in some circumstances may include valuable proprietary code, such derivative works of the open-source software) under the terms of the particular open-source license. These obligations may require us to make source code for the derivative works available to the public or license such derivative works under a particular type of license rather than the more limited access rights we customarily grant our customers and their users. This type of licensing may subject us to disclosure of valuable, proprietary software code.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our policies and processes are intended to enable us to monitor and comply with the licenses of third-party open-source software and protect our valuable proprietary source code, we may inadvertently use third-party open-source software in a manner that exposes us not only to the risk of a forced disclosure of our own proprietary software, but also to claims of non-compliance with the terms of third-party licenses, including claims of infringement or for breach of contract. We cannot be sure that all open-source software is identified, reviewed, or submitted for approval prior to use in our operations or platform. Also, there exists today an increasing number of types of open-source software licenses, and those licenses may not yet have faced legal challenges in courts that could result in guidance to users in their efforts to avoid legal issues. If we were to receive a claim of non-compliance with the terms of any of these licenses, not only would the potential exposure of our own source code be very harmful to us, but we may be required to invest substantial time and resources to re-engineer some of our software or license alternative software on terms unfavorable to us. Any of the foregoing may disrupt and harm our intellectual property,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the use of certain open-source software can lead to greater risks than use of third-party commercial software, as open-source licensors generally do not provide warranties or controls on the functionality or origins of software or other contractual protections regarding infringement claims or the quality of the licensed code, including with respect to security and architectural vulnerabilities. There is typically no support available for open-source software and such software is ordinarily provided on an “as-is” basis, and we cannot be 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Use of open-source software may also present additional security risks because the public availability of such software may make it easier for hackers and other third parties to determine how to compromise our services. Further, our use of any AI solutions that use or incorporate any open-source software may heighten any of the foregoing risks. Any of these risks could be difficult to eliminate or manage, and, if not addressed, may harm our business, financial condition, results of operations, and prospects.</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Risks Related to Legal and Regulatory Matters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business and our offerings are subject to various governmental regulations, and compliance with these regulations may cause us to incur significant expense. If we fail to comply with applicable regulations, we could be subject to administrative, civil, and/or criminal penalties.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and our offerings are subject to various domestic and international laws and other legal requirements, including packaging, product content, and labor regulations. Further, we are subject to various governmental export and import controls that could subject us to liability or impair our ability to compete in our markets, including the U.S. Export Administration Regulations (“EAR”), which are administered by the U.S. Department of Commerce’s Bureau of Industry and Security (“BIS”), as well as economic and trade sanctions, including those administered by the U.S. Department of the Treasury’s Office of Foreign Assets Control (“OFAC”). U.S. export control laws and regulations restrict or prohibit the export, re-export, and in-country transfer of certain commodities, software, and technology (including certain AI technologies) to restricted countries, governments, persons, and entities. In addition, we are subject to similar export control laws and regulations in other jurisdictions, including, without limitation, the EU and Canada, and could become subject to further export controls laws and regulations in other jurisdictions.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Changes to sanctions or export or import restrictions in the jurisdictions in which we operate or have customers could further impact our ability to do business in certain parts of the world and to do business with certain persons or entities, which could adversely affect our business, operating results, financial condition, and future prospects. BIS has changed and may again change the export control rules at any time and may impose additional export control restrictions and elevated licensing requirements on certain components of our products. For example, we are monitoring a proposed rule that BIS issued in January 2024, which would require, among other things, U.S. providers of Infrastructure-as-a-Service (“IaaS”) products, and resellers of such products, to verify the identity of their foreign customers, and providers of certain IaaS products to submit a report to the U.S. Secretary of Commerce when a foreign person transacts with that provider or one of its resellers to train a large AI model with potential capabilities that could be used in malicious cyber-enabled activity. If the regulations go into effect as proposed and are deemed to apply to our business, we may be required to expend substantial resources to comply with the verification, reporting, recordkeeping, and resale enforcement requirements and may be restricted in our customer base. We also are monitoring certain legislative developments, including, without limitation, the Remote Access Security Act, which may impact third party access to our compute infrastructure.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Changes in our offerings, and changes in, or promulgation of, new export or import regulations, may delay the introduction of our offerings into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shift in the enforcement or scope of existing regulations or economic sanctions, or change in the countries, governments, persons, or technologies targeted by such regulations or economic sanctions could result in decreased or loss of revenue, including an inability to sell existing offerings to existing or potential customers. We also may not be able to develop replacement offerings not subject to licensing and other requirements. We cannot provide assurance that heightened attention on relations with the Middle East, including companies based therein, and such region’s AI ambitions, will not cause the U.S. government to adopt new regulations, or deny us necessary regulatory approvals, that limit our ability to sell our offerings there or result in brand or reputational harm, competitive harm, or financial harm.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any deterioration in the respective relations between the United States, China, Taiwan, the Middle East, and other jurisdictions could lead to additional sanctions or export controls on such countries, regions, and specific individuals or entities, which could impact our ability to sell to or source components from such locales or otherwise negatively impact our business. In addition, trade regulations or other governmental actions targeted at one country or entity may impact other countries or entities. Any decreased sales of our offerings, or limitation on our ability to export or sell our offerings, would adversely affect our business, financial condition, results of operations, and prospects. Further changes in trade or national security protection policy, tariffs, additional taxes, restrictions on exports, or other trade barriers could impede the supply chain in this industry. Additional restrictions could also provoke responses from foreign governments that negatively impact our supply chain, limit our ability to obtain additional components or raw materials and produce products, increase our selling and/or manufacturing costs, decrease margins, reduce the competitiveness of our offerings, reduce our ability to sell offerings, or reduce our ability to have investments or mergers and acquisitions approved by governmental agencies, any of which may harm our business, financial condition,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also subject to anti-corruption laws, including the U.S. Foreign Corrupt Practices Act, which have been enforced aggressively in recent years. Although we have implemented policies and procedures designed to support compliance with relevant economic sanctions, export controls, and anti-corruption laws, there can be no assurance that our employees, partners, contractors, or agents will not violate such laws and regulations or our policies and procedures. Any failure by us to comply with these laws or regulations may have adverse consequences for us, including reputational harm, government investigations, possible loss of export or import privileges, and substantial civil and criminal penalties. We may be required to incur significant expense to comply with, or to remedy violations of, these regulations.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Our offerings or manufacturing standards may also be impacted by new or revised environmental rules and regulations or other social initiatives, such as the EU Directive on Restriction of Hazardous Substances, the EU Waste Electrical and Electronic Equipment Directive, and U.S. conflict mineral regulations. </w:t>
      </w:r>
      <w:r>
        <w:rPr>
          <w:rFonts w:ascii="Times New Roman;serif" w:hAnsi="Times New Roman;serif"/>
          <w:b w:val="false"/>
          <w:color w:val="000000"/>
          <w:sz w:val="20"/>
        </w:rPr>
        <w:t>Compliance with such regulations may increase the cost of doing business and any failure in compliance may subject us to adverse consequences such as penalties, investigations, and mandatory re-designs of our offerings.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Our offerings are subject to U.S. export controls and may be exported outside the United States only with the required export license or through a license exception. We cannot guarantee that we will be successful in obtaining all required licenses in the future. If we are unable to obtain licenses to export our offerings, our business, financial condition, results of operations, and prospects may be harmed. </w:t>
      </w:r>
    </w:p>
    <w:p>
      <w:pPr>
        <w:pStyle w:val="TextBody"/>
        <w:bidi w:val="0"/>
        <w:spacing w:lineRule="auto" w:line="288" w:before="0" w:after="180"/>
        <w:jc w:val="both"/>
        <w:rPr/>
      </w:pPr>
      <w:r>
        <w:rPr>
          <w:rFonts w:ascii="Times New Roman;serif" w:hAnsi="Times New Roman;serif"/>
          <w:b w:val="false"/>
          <w:color w:val="000000"/>
          <w:sz w:val="20"/>
        </w:rPr>
        <w:t xml:space="preserve">Our offerings are subject to U.S. export controls, and generally may only be exported to customers located in certain countries with prior licensing from the BIS. In particular, in October 2023, BIS announced updated licensing requirements for exports of certain semiconductors and other items, including certain components of our products, to countries in the EAR’s Country Groups D:1, D:4 (which includes the United Arab Emirates, where our strategic partners, G42 and MBZUAI, are headquartered), and D:5. The licensing requirements also apply to the export of these items to a party headquartered in, or with an </w:t>
      </w:r>
      <w:r>
        <w:rPr>
          <w:rFonts w:ascii="Times New Roman;serif" w:hAnsi="Times New Roman;serif"/>
          <w:b w:val="false"/>
          <w:color w:val="000000"/>
          <w:sz w:val="20"/>
          <w:shd w:fill="FFFFFF" w:val="clear"/>
        </w:rPr>
        <w:t>ultimate</w:t>
      </w:r>
      <w:r>
        <w:rPr>
          <w:color w:val="000000"/>
        </w:rPr>
        <w:t xml:space="preserve"> </w:t>
      </w:r>
      <w:r>
        <w:rPr>
          <w:rFonts w:ascii="Times New Roman;serif" w:hAnsi="Times New Roman;serif"/>
          <w:b w:val="false"/>
          <w:color w:val="000000"/>
          <w:sz w:val="20"/>
        </w:rPr>
        <w:t>parent headquartered in, Country Group D:5. In January 2025, BIS published its Framework for Artificial Intelligence Diffusion, which implemented a worldwide ecosystem for the diffusion and use of AI and advanced computing integrated circuits. Although BIS has announced that it will not enforce these rules, and plans to issue new rules on the export of these products in the future, the details are not currently available.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licensing process is time-consuming and historically has been difficult with respect to certain regions and subject to shifting governmental policies. There is no assurance that BIS will grant licenses to export our offerings to our customers or prospective customers. Because the export license process is uncertain, prospective customers of our offerings may seek alternative suppliers who can more readily obtain a license or sell competitive products or services that do not require a license to export.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Even if we are able to obtain an export license from BIS with respect to our products, the license may impose burdensome conditions that we or our customer cannot accept and/or that require significant investment with respect to security and compliance. For example, we have obtained export licenses for our CS-2, CS-3, and future CS-4 systems for export to G42 and MBZUAI in the United Arab Emirates, but the applicable licenses require that we and our customer undertake certain rigorous security and compliance obligations to prevent diversion and abuse of our technology. Managing these obligations will require additional investment in processes, technology and personnel, and if we or our customers fail to comply with these conditions, the export license may be revoked, including after we have manufactured the applicable products, and we may be subject to civil monetary fines, criminal sanctions, and other administrative penalties (such as loss of export privileges), which may harm our reputation, business, financial condition, results of operations, and prospects. To the extent we increase our business outside the United States, our risks under these laws and regulations, as well as comparable laws in other countries where we operate or plan to operate, would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have implemented certain procedures to facilitate compliance with applicable laws and regulations, we cannot ensure that these procedures are fully effective or that we, or third parties who we do not control, have complied with all laws or regulations in this regard. Failure by our employees, representatives, contractors, partners, agents, intermediaries, or other third parties (including our customers) to comply with applicable laws and regulations also could have negative consequences to us, including reputational harm, government investigations, loss of export privileges and penalties. To the extent we increase our business outside the United States, our risks under these laws and regulations would increase.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international trade laws, regulations, and policies may disadvantage us relative to competitors who sell products or services that are not subject to U.S. export control restrictions or who may be able to acquire licenses for their products that we are not able to obtain. Our competitive position and future results may be further harmed over the long-term if there are further changes in BIS export controls, including further expansion of the geographic, customer, or product scope of the controls applicable to our products, if customers purchase products from competitors, if customers develop their own internal solutions to avoid the need to purchase our products, if we are unable to provide contractual warranty or other extended service obligations, if BIS does not grant licenses in a timely manner or denies licenses relating to significant customers, or if we incur significant transition costs. Even if BIS grants requested licenses, the licenses may be temporary, limited in volume or quantity, or impose burdensome conditions that we or our customers or end users cannot or choose not to fulfill. The licensing requirements may benefit certain of our competitors who have more presence and influence with the government, and encourage customers to pursue alternatives to our products, including semiconductor suppliers based in China, Europe, and Israel. If we are unable to manage new licenses and other requirements or obtain export licenses in the future, our business, financial condition, results of operations, and prospects may be harmed.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Sales to government entities and highly regulated organizations are subject to a number of challenges and risks.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sold in the past, and may sell in the future, our offerings to governmental agencies or entities and customers in highly regulated industries, such as healthcare and financial services. Selling to such entities can be highly competitive, expensive, and time consuming, often requiring significant upfront time and expense without any assurance that these efforts will generate a sale. In addition, government demand and payment for our offerings are affected by changes in administration, public sector budgetary cycles and funding authorizations, and government contracting requirements may change from time to time, any of which can limit our ability to sell into the government sector. In certain foreign jurisdictions, our ability to win business may be constrained by political or other factors unrelated to our competitive position in the market.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government and other highly regulated entities can have more complex IT and data environments, and often have longer implementation or deployment cycles than others. They have and may continue to demand contract terms that differ from our standard arrangements and may be less favorable than terms agreed with other private sector customers, and may expect greater payment flexibility. Government contracts may contain provisions that give the government substantial rights and remedies, many of which are not typically found in commercial contracts, including provisions relating to intellectual property “march-in” rights, preferential pricing, refund rights, obligation modifications, U.S. manufacturing requirements, export control, and termination or non-renewal due to funding availability.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Government contracting requirements may change and in doing so restrict our ability to sell into the government sector until we have obtained any required government certifications. Further, to contract with certain government agencies, some of our employees may be required to have security clearances. Obtaining and maintaining such security clearances is a lengthy process. If our employees are unable to obtain or maintain such clearances, or we cannot recruit employees with such clearances, it would harm our ability to sell to, or work with, such government agencies, which may harm our business, results of operations, and financial condition. Government demand and payment for our offerings are affected by public sector budgetary cycles and funding authorizations, with funding reductions or delays adversely affecting public sector demand for our solutions.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government contractor or subcontractor, we must comply with laws, regulations, and contractual provisions relating to the formation, administration, and performance of government contracts, all of which may impose additional costs on our business. Governments routinely investigate and audit government contractors’ administrative processes, and any unfavorable audit could result in the government refusing to continue purchasing our offerings. In addition, as a result of actual or perceived noncompliance with government contracting laws, regulations, or contractual provisions, we may be subject to non-ordinary course audits and internal investigations which may prove costly to our business financially, divert management attention or limit our ability to continue selling our offerings to our government customers. Failure to comply with these or other applicable regulations and requirements could lead to claims for damages, downward contract price adjustments or refund obligations, civil or criminal penalties, and termination of contracts and suspension or debarment from government contracting for a period of time with government agencies. Any such damages, penalties, disruption of, or limitation in our ability to do business with a government would harm our reputation,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Our global operations expose us to numerous legal and regulatory requirements and failure to comply with such requirements, including unexpected changes to such requirements, may harm our results of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service our customers around the world. We are subject to numerous, and sometimes conflicting, legal regimes of the United States and foreign national, state, and provincial authorities on matters as diverse as anti-corruption, trade restrictions, tariffs, taxation, sanctions, anti-competition, intellectual property, data security, and privacy. U.S. laws may be different in significant respects from the laws of countries where we operate or we or our customers may enter, forcing businesses to choose between compliance with conflicting legal regimes. We also may seek to expand operations in emerging market jurisdictions where legal systems are less developed or familiar to us.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there can be no assurance that the laws or administrative practices relating to taxation (including with respect to income and withholding taxes), foreign exchange, export controls, economic sanctions, or otherwise in the jurisdictions where we have operations will not change. Changes in tax laws in some jurisdictions may also have a retroactive effect and we may be found to have paid less tax than required in such jurisdictions. Compliance with diverse legal requirements is costly, time 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or criminal prosecution, unfavorable publicity and other reputational damage, and allegations by our customers that we have not performed our contractual obligations. Due to the varying degrees of development of the legal systems of the countries in which we operate, local laws might be insufficient to protect our rights.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global operations and collection, storage, use and other processing of proprietary, confidential, and sensitive information, including personal information, expose us to numerous data privacy and security laws, regulations, contractual requirements, and other obligations relating to data privacy and security, and the actual or perceived failure to comply with such obligations, including unexpected changes to such obligations, may harm our business, financial condition,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processing of personal information, including the personal information of our employees and customers, makes us, or may make us, subject to a complex patchwork of evolving data privacy and security laws that are not always interpreted uniformly. Additionally, we may be bound by contractual requirements applicable to our collection, storage, transmission, use and other processing of proprietary, confidential, and sensitive information, including personal information, and may be bound or asserted to be bound by, or voluntarily comply with, self-regulatory or other industry standards relating to the processing of such information. These laws, rules, regulations, industry standards, contractual requirements and other obligations are constantly evolving, and we expect that we will continue to become subject to new proposed laws, rules, regulations, industry standards, contractual requirements and other obligations in the United States and other jurisdictions where we operate. This evolution, among other things, may create uncertainty in our business; affect us or our collaborators’, service providers’ and contractors’ ability to operate in certain jurisdictions or to collect, store, transfer, use and share personal information; necessitate the acceptance of more onerous obligations in our contracts; result in liability; or impose additional costs on us; necessitate changes to our IT systems, and practices and to those of any third parties that process personal information on our behalf, or require us to change our business model. There is no guarantee that regulators or consumers will agree with our approach to compliance and any failure, or perceived failure, to comply with applicable data privacy or security laws or regulations may harm our business, financial condition,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United States, numerous state and federal laws, regulations, standards, and other legal obligations, including consumer protection laws and regulations, which govern the collection, dissemination, use, access to, confidentiality, security, and other processing of personal information, including certain health-related information, apply to our operations or the operations of our customers, third-party service providers, or partners. For example, we are subject to the rules and regulations promulgated under the authority of the Federal Trade Commission (“FTC”), which, together with many state Attorneys General, has the authority to regulate and enforce against unfair or deceptive acts or practices in or affecting commerce, including acts and practices with respect to privacy, data protection and cybersecurity.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Congress also has considered, and continues to consider, many proposals for comprehensive national privacy, data protection, and cybersecurity legislation, including with respect to AI, to which we may become subject if enacted.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the Health Insurance Portability and Accountability Act of 1996, and regulations promulgated thereunder (“HIPAA”) imposes privacy, security, and breach notification obligations on covered entities, as well as their business associates that process certain health-related information on their behalf. Depending on the facts and circumstances, we could be subject to significant civil, criminal, and administrative fines and penalties and/or additional reporting and oversight obligations if found to be in violation of HIPAA.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U.S. states have also adopted comparable data privacy and security laws and regulations, which govern the privacy, processing, and protection of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provides for enhanced privacy rights for California residents and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The CCPA is enforced by the California Attorney General and the California Privacy Protection Agency (“CPPA”), and provides for civil penalties for certain violations, as well as a private right of action for certain data breaches that may increase the likelihood of and risks associated with data breach litigation. In addition, numerous other states have enacted, or are in the process of enacting or considering, comprehensive state-level privacy, data protection and cybersecurity laws, rules and regulations that share similarities with the CCPA, which creates the potential for a patchwork of overlapping but different domestic privacy laws. In addition, all 50 states have laws that require the provision of notification for breaches of personal information to affected individuals, state officers or others. Noncompliance with HIPAA, FTC rules and regulations, the CCPA, or other U.S. privacy laws may result in enforcement actions, litigation, or other disputes and expose us to additional liability, which could harm our business, financial condition,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also subject to evolving privacy laws on cookies, tracking technologies, marketing, advertising, and other activities conducted by telephone, email, mobile devices, and the internet, and similar state consumer protection and communication privacy laws, such as California’s Invasion of Privacy Act. Regulation of cookies and similar technologies may lead to broader restrictions on our marketing and personalization activities, as well as the effectiveness of our marketing. Such regulations may have a negative effect on our business. We may also be subject to fines, damages, and other penalties, and litigation relating to such laws and regulations. The decline of cookies or other online tracking technologies as a means to identify and target potential customers may increase the cost of operating our business and lead to a decline in revenue. In addition, legal uncertainties about the legality of cookies and other tracking technologies may increase regulatory scrutiny and increase potential civil liability under data protection or consumer protection laws. We have in the past received, may in the future receive, claims that we have violated such laws. Claims that we have violated such laws could be costly to litigate, whether or not they have merit, and could expose us to substantial statutory damages or costly settlements.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required or may be required to comply with foreign data privacy and security laws in jurisdictions in which we have offices or conduct business. For example, in Europe, the EU General Data Protection Regulation and applicable national supplementing laws (collectively, the “GDPR”) impose strict requirements for processing the personal data of individuals within the European Economic Area (“EEA”) or for activities within the EEA. Following the withdrawal of the UK from the EU, we may also be subject to the UK General Data Protection Regulations and Data Protection Act 2018 (collectively, the “UK GDPR”). The GDPR and UK GDPR are wide-ranging in scope and impose numerous additional requirements on companies that process personal data, including imposing special requirements in respect of the processing of personal data, requiring that consent of individuals to whom the personal data relates is obtained in certain circumstances, requiring additional disclosures to individuals regarding information processing activities, requiring that safeguards are implemented to protect the security and confidentiality of personal data, creating mandatory data breach notification requirements in certain circumstances and requiring that certain measures (including contractual requirements) are put in place when engaging third-party processors. The GDPR and UK GDPR also provide individuals with various rights in respect of their personal data, including rights of access, erasure, portability, rectification, restriction, and objection. Failure to comply with the GDPR and the UK GDPR can result in significant fines and other liability. European data protection authorities have shown a willingness to impose significant fines and issue orders preventing the processing of personal information on non-compliant businesses and have imposed fines for GDPR violations up to, in some cases, hundreds of millions of Euros. While the UK GDPR currently imposes substantially the same obligations as the GDPR, the UK government recently enacted the Data Use and Access Act 2025, which became law in June 2025 and will continue to be phased in through 2026. This new legislation introduces reforms that diverge from the EU GDPR, and may require us to implement additional compliance measures under the new framework. These changes create risk of divergent parallel regimes and related uncertainty, along with the potential for increased compliance costs and risks for affected businesses, as we are no longer able to take a unified approach across the EEA and UK.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Among other requirements, the GDPR regulates transfers of personal data subject to the GDPR or UK GDPR to so-called third countries outside the EEA and the UK that have not been determined by the relevant data protection authorities to provide an adequate level of protection to such personal data, including the United States, and the efficacy and longevity of current transfer mechanisms between the EEA, and the United States remains uncertain. Case law from the Court of Justice of the EU indicates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In July 2023, the European Commission adopted an adequacy decision in relation to the new EU-U.S. Data Privacy Framework (“DPF”) rendering the DPF effective as a GDPR transfer mechanism for personal data transferred from the EEA to the U.S. by U.S. entities self-certified under the DPF. In October 2023, the UK Extension to the DPF came into effect, as approved by the UK government, as a data transfer mechanism from the UK to U.S. entities self-certified under the DPF. However, the DPF adequacy decisions do not foreclose, and are likely to face, future legal challenges and the ongoing legal uncertainty with respect to international data transfers may increase our costs and our ability to efficiently process personal data from the EEA or the UK. In addition to the ongoing legal uncertainty with respect to data transfers from the EEA or the UK, additional costs may need to be incurred in order to implement necessary safeguards to comply with the GDPR and the UK GDPR, and potential new rules and restrictions on the flow of data across borders could increase the cost and complexity of conducting business in some markets. If our policies and practices or those of our third-party vendors, service providers, contractors or consultants are, or are perceived to be, insufficient, or if our customers or others have concerns regarding our transfer of personal data from the EEA or the UK to the United States, we could be subject to enforcement actions or investigations, including by individual EU or UK data protection authorities, or lawsuits by private parties. Other jurisdictions outside the EU and the UK are similarly introducing or enhancing privacy, data protection and cybersecurity laws, rules, and regulations, which could increase our compliance costs and the risks associated with noncompliance. We cannot yet fully determine the impact these or future laws, rules, and regulations may have on our business or operations. These laws, rules and regulations may be inconsistent from one jurisdiction to another, subject to differing interpretations and may be interpreted to conflict with our practices.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have implemented various measures to help ensure that our policies, processes, and systems are in compliance with our legal obligations with respect to our collection, storage, use and other processing of proprietary, confidential and sensitive information, including personal information, any inability, or perceived inability, to adequately address privacy concerns or comply with applicable laws, even if unfounded, may result in significant regulatory and third-party liability, increased costs, disruption of our business and operations, and a loss of client confidence and other reputational damage. Furthermore, as new privacy-related laws and regulations are implemented, the time and resources needed for us to seek compliance with such laws and regulations continues to increase.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AI industry is subject to complex, evolving regulatory, statutory, and other requirements that may be difficult and expensive to comply with and that could negatively impact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regulatory framework for our offerings, including our AI computing solutions and AI model services, is rapidly evolving as many federal, state, and foreign government bodies and agencies have introduced or are currently considering additional laws and regulations related to AI. Additionally, existing laws and regulations may be interpreted in ways that would affect our or our customers’ operations, or our ability to offer our AI offerings in the markets in which we operate. As a result, implementation standards and enforcement practices are likely to remain uncertain for the foreseeable future, and we cannot yet determine the impact future laws, regulations, standards, or market perception of their requirements may have on our business, and we may not be able to adequately anticipate or respond to these evolving laws or regulations. In addition, because AI-related technologies are themselves highly complex and rapidly developing, it is not possible to predict all of the legal or regulatory risks that may arise relating to our use of such technologies. New laws, guidance or decisions in this area could provide a new regulatory framework that may require us to adjust and make changes to our operations that may decrease our operational efficiency, resulting in an increase to operating costs and/or hindering our ability to improve our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Already, certain existing legal regimes (including, those related to data privacy and cybersecurity) regulate certain aspects of AI models and automated decision-making, and new laws regulating AI technologies have entered into force in the United States and the EU. For example, in the United States, the current presidential administration rescinded in 2025 an executive order relating to the safe and secure development of AI technologies that was previously implemented by the former administration in 2023. The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executive order. In July 2025, the current administration further issued America’s AI Action Plan, focusing on the three pillars of innovation, infrastructure, and international diplomacy and security in AI, and seven underlying principles. The current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with old frameworks or meet new obligations. There is currently no comprehensive federal legislation in the United States concerning the use, development, or deployment of AI. Despite the lack of comprehensive legislation, federal regulators are continuing to pursue AI-related enforcement actions under existing federal laws. In addition, legislation related to AI has both been enacted and is advancing at the state level. For example, Utah passed the AI Policy Act, which took effect in May 2024, imposing certain disclosure requirements on the use of AI, and Colorado enacted the Colorado AI Act, which will take effect in June 2026. In addition, California recently finalized regulations under the CCPA regarding the use of automated decision-making, and has enacted several AI-related laws, including laws requiring certain AI providers to implement transparency and safety measures. Any of such regulations, or any similar regulations, may impact the development, use, and commercialization of AI in the future.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in Europe, the AI Act, which establishes a comprehensive, risk-based governance framework for AI in the EU market, applies to, amongst other entities, providers, importers, and distributors of AI systems or general-purpose AI models that are placed on the EU market or put into service or used in the EU. The AI Act entered into force in August 2024, with the majority of the AI Act’s substantive requirements coming into effect in 2026. The AI Act establishes a risk-based governance framework for regulating high-risk AI systems and categorizes AI systems based on the risks associated with such AI systems’ intended purposes as creating “unacceptable,” “high,” or “limited” risks. The AI Act also includes various requirements for providers, importers, distributors, and users of AI systems in the EU, including with respect to transparency, conformity assessments and monitoring, risk assessments, human oversight, security and accuracy, general-purpose AI models, and foundation models, and introduces significant penalties of up to 7% of global revenue. While the AI Act has yet to be enforced, there is a risk that our current or future offerings may be subject to heightened obligations under the AI Act, requiring us to comply with the applicable requirements of the AI Act, which may impose additional costs on us, increase our risk of liability or adversely affect our business. Even if our offerings are not categorized as “unacceptable” or “high” risk under the AI Act, we may be subject to additional transparency and other obligations for providers, distributors, or importers of AI systems, which may require us to expend resources to comply with such obligations. There are also specific obligations regarding the use of automated decision-making under the GDPR. The AI Act and GDPR may have a material impact on the way AI is regulated, and developing interpretation and applications of the foregoing, together with developing guidance and/or decisions in this area, may affect our planned business activities involving the development and/or use of AI. Additionally, our customers may become subject to such upcoming AI regulations, which could cause a delay or impediment to the commercialization of AI technologies and could lead to a decrease in demand for our customers’ AI systems. It is likely that further new laws and regulations will be adopted in the United States and in other non-U.S. jurisdictions, or that existing laws and regulations, including competition and antitrust laws, may be interpreted in ways that would limit ours or our customers’ ability to use AI or in a manner that negatively affects the performance of our products, services, and business. We may need to expend resources to adjust our AI offerings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Such an increase in operating expenses, as well as any actual or perceived failure to comply with such laws and regulations, could adversely affect our business, financial condition, results of operations, and prospects. The regulatory environment surrounding the implementation of AI technologies may adversely affect our ability to produce and export our offerings and as a result may cause harm to our reputation, business, financial condition, results of operations,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be subject to litigation, investigations, or other actions, which may lead us to incur significant costs and harm our business and our 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and may become, party to lawsuits and claims arising in the normal course of business, which may include putative class action suits or other lawsuits, investigations or other claims relating to intellectual property, open-source software, customer matters, our marketing and sales practices, contracts, employment matters, regulatory compliance, or other aspects of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Many companies in the semiconductor industry own large numbers of patents, copyrights, trademarks, domain names, and trade secrets, and frequently enter into litigation based on allegations of infringement, misappropriation, or other violations of intellectual property or other rights. As we face increasing competition and gain a higher profile, the possibility of intellectual property rights claims against us grows.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Defending any lawsuit, even when comprised of unmeritorious claims, is costly and can impose a significant burden on, and divert the attention of, management and employees, and harm our reputation. As litigation is inherently unpredictable, we cannot assure you that any potential claims or disputes will not harm our business, financial condition, results of operations, and prospects. Any claims or litigation, even if fully indemnified or insured, may make it more difficult to effectively compete or to obtain adequate insurance in the future. Any litigation to which we are a party may result in an onerous or unfavorable judgment that may not be reversed upon appeal, or in the payment of substantial monetary damages or fines, or we may decide to settle lawsuits on similarly unfavorable terms, which may harm our business, financial condition, results of operations, and prospects. In the case of an unfavorable outcome in an intellectual property case, we could also be required to:</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pay substantial damages for past, present, and future use of the infringing technology;</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cease use of an infringing product (or component), which may involve redesigning a product or component part so that it does not infringe;</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expend significant resources to develop non-infringing technology;</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license technology from the third-party claiming infringement, which license may not be available on commercially reasonable terms, or at all;</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enter into cross-licenses with our competitors, which could weaken our overall intellectual property portfolio and our ability to compete in particular product categories;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indemnify our customers;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pay substantial damages to our direct or end customers to discontinue use or replace infringing technology with non-infringing technology; or</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relinquish intellectual property rights associated with one or more of our patent claims if such claims are held invalid or otherwise unenforceable.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of the foregoing results may harm our business, financial condition, results of operations,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be subject to warranty claims and product liability.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subject to warranty or product liability claims arising from defects or perceived defects in our products or in third-party components that we integrate into our products, which may lead to significant expenses. If a customer’s equipment fails in use, the customer may incur significant expenses, as well as lost revenue. The customer may claim that a defect in our product caused the equipment failure and assert a claim against us to recover monetary damages, including indirect and consequential damages. The process of identifying a defective or potentially defective product in complex systems may be lengthy and require significant resources, and we may incur significant replacement costs and contract damage claims from our customers. In certain situations, we may consider incurring the costs or expenses related to a recall of one of our products in order to avoid the potential claims that may be raised should a customer suffer a failure due to a design or manufacturing process defect. Any such liabilities may greatly exceed any revenue we receive from the relevant products. Costs, payments, or damages incurred or paid by us in connection with warranty and product liability claims could exceed our product liability insurance coverage, or warranty reserves, and could harm our business, financial condition, results of operations,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Regulations related to conflict minerals may cause us to incur additional expenses and may limit the supply and increase the costs of certain metals used in the manufacturing of our products.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requirements under the Dodd-Frank Wall Street Reform and Consumer Protection Act of 2010, requiring us to conduct due diligence on and disclose whether certain conflict minerals originating from certain countries and geographic regions are necessary for the manufacture or functionality of our products. The implementation of these requirements could adversely affect the sourcing, availability, and pricing of the materials used in the manufacture of components used in our products. In addition, we will incur additional costs to comply with the potential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any of our products contain minerals not determined to be free of conflict minerals or if we are unable to alter our products, processes, or sources of supply to avoid such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Risks Related to Financial and Accounting Matters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the value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completion of the IPO, we were a private company since our inception and, as such, we did not have the internal control and financial reporting requirements that are required of a publicly traded company. In connection with the preparation of our financial statements, we identified certain material weaknesses in our internal control over financial reporting that existed as of June 30, 2026. A material weakness is a deficiency, or combination of deficiencies, in internal control over financial reporting such that there is a reasonable possibility that a material misstatement of our financial statements will not be prevented or detected on a timely basis.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 weaknesses that we identified relate to (i) inadequate or missing resources who possess an appropriate level of expertise to timely review account reconciliations and identify, select, and apply U.S. generally accepted accounting principles (“GAAP”) pertaining to several financial statement areas, including revenue recognition, inventory management and costing, data center assets accounting, and equity administration and (ii) the failure to maintain adequate IT general controls, including ineffective segregation of duties.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response to the identified material weaknesses, we have begun adding additional resources, formalizing processes, and implementing new controls. We have hired, and continue to hire, additional accounting and finance personnel with expertise we believe to be appropriate to strengthen our overall controls over the review of account reconciliations, the application of GAAP, and the IT environment. We intend to continue to take steps to remediate these material weaknesses. The material weaknesses will not be considered remediated until management designs and implements effective controls that operate for a sufficient period of time and management has concluded, through testing, that these controls are effective. Our management continues to monitor the effectiveness of our remediation plans and will make changes determined to be appropriate.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 give no assurance that the measures we have taken and plan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 If the steps we take do not correct these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 We have limited experience with implementing the systems and controls that will be necessary to operate as a public company. If these new systems or controls and the associated process changes do not give rise to the benefits that we expect or do not operate as intended, it may harm our financial reporting systems and processes, our ability to produce timely and accurate financial reports or the effectiveness of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fail to remediate our existing material weaknesses or identify new material weaknesses in our internal control over financial reporting, if we are unable to comply with the disclosure and attestation requirements of Section 404 of the Sarbanes-Oxley Act in a timely manner, if we are unable to conclude that our internal control over financial reporting is effective, or if our independent registered public accounting firm is unable to conclude that our internal control over financial reporting is effective when we are no longer an emerging growth company, investors may lose confidence in the accuracy and completeness of our financial reports and the price of our Class A common stock could be negatively affected. As a result, we could also become subject to investigations by the Nasdaq Stock Market LLC (“Nasdaq”), the SEC, or other regulatory authorities, and become subject to litigation from stockholders, which could harm our reputation and financial condition or divert financial and management resources from our regular business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even if we are successful in strengthening our controls and procedures, in the future those controls and procedures may not be adequate to prevent or identify irregularities or errors or to facilitate the fair presentation of our financial statements.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and stock exchange listing requirements.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identified material weaknesses in our internal control over financial reporting in the past, most recently for the period ended June 30, 2026, and cannot assure you that there will not be material weaknesses or significant deficiencies in our internal controls in the future. In order to maintain and improve the effectiveness of our disclosure controls and procedures and internal control over financial reporting, we have expended, and anticipate that we will continue to expend, significant resources, including accounting-related costs, new internal processes and procedures, and significant management oversight. If any of these new or improved controls and systems do not perform as expected, we may experience further deficiencies in our controls.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that we develop may become inadequate because of changes in conditions in our business. Further, to the extent we acquire other businesses, the acquired company may not have a sufficiently robust system of controls and we may discover deficiencies.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also may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cause the price of our Class A common stock to decline. In addition, if we are unable to continue to meet these requirements, we may not be able to remain listed on a stock exchange.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annual report on Form 10-K for the year ending December 31, 2027.</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becoming a public company, and particularly after we are no longer an “emerging growth company,” we expect our independent registered public accounting firm will be required to formally attest to the effectiveness of our internal control over financial reporting.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harm our business, financial condition, results of operations, and prospects, and may cause the price of our Class A common stock to decline.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have a limited ability to use some or all of our net operating loss carryforwards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utilize our net operating loss carryforwards (“NOLs”) to reduce taxable income in future years could become subject to significant limitations under Section 382 of the U.S. Internal Revenue Code of 1986, as amended (the “Code”) if we undergo an “ownership change” within the meaning of Section 382, or the value of such NOLs could be reduced in the event that the relevant rules under the Code were to be revised. We would undergo an ownership change if, among other things, the stockholders who own, directly or indirectly, 5% or more of our common stock, or are otherwise treated as “5% shareholders” under Section 382 of the Code and the regulations promulgated thereunder, increase their aggregate percentage ownership of our stock by more than 50 percentage points over the lowest percentage of the stock owned by these stockholders at any time during the testing period, which is generally the three-year period preceding the potential ownership change. We may have experienced ownership changes in the past and may experience ownership changes in the future. Similar rules may apply under state tax laws.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is also a risk that due to regulatory changes, such as suspensions on the use of NOLs or other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may potentially result in increased future tax liability to us and may harm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Unanticipated changes in our effective tax rate and additional tax liabilities may impact our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taxes in the United States and certain foreign jurisdictions. Due to economic and political conditions, tax rates in various jurisdictions, including the United States, may be subject to change. For example, the U.S. government may enact significant changes to the taxation of business entities, including, among others, a permanent increase in the corporate income tax rate, an increase in the tax applicable to “net CFC tested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We are currently unable to predict whether such changes will occur and, if such changes occur, the ultimate impact on our tax liabilities. Any resulting increase in our tax obligation or cash taxes paid may harm our cash flows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expect to require significant additional capital to support business growth, and this capital might not be available when needed on favorable terms or at all.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growth and may require additional funds to respond to business challenges and opportunities, including the need to develop new products or services, enhance our existing offerings, enhance our operating infrastructure, expand internationally, and acquire complementary businesses and technologies. In order to achieve these objectives, we expect to require significant additional capital resources in the future, and may determine to raise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In addition, the incurrence of indebtedness, including under the Revolving Credit Facility (as defined in the section titled “Management’s Discussion and Analysis of Financial Condition and Results of Operations”), would increase our fixed obligations, and may include covenants or other restrictions that impede our ability to manage our operations. We may not be able to obtain additional financing on terms favorable to us when needed,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Some of our suppliers provide us with a line of credit to meet the needs of our normal business requirements. Most of our suppliers set dollar limits on the trade credit they will afford us at any given time. If our suppliers were to cease to sell to us on trade credit terms or were to substantially lower the credit limits they have set on our open accounts, we would need to accelerate our payments to those suppliers, creating additional demands on our cash resources, or we would need to find other sources for those goods. Further, some of our customers advance us funds pursuant to their purchase order, which we are required to hold in trust to be used only for the purposes specified in such purchase order. Under certain circumstances, we may be required to refund the portion of the advanced funds that has not yet been used for the specified purposes on demand, and we may not have enough available cash or be able to obtain financing at the time we are required to repay the portion of the advanced funds. The customer may also take title to the components purchased using the advanced funds. Additionally, we may have to pay taxes on the customer advances before we have recognized any revenue from the components purchased with the advanced funds. Our inability to repay the advanced funds when required, or the requirement to pay taxes prior to recognizing revenue may harm our business, financial condition, results of operations,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results of operations may be harmed by changes in financial accounting standards or by the application of existing or future accounting standards to our business as it evolves.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reported results of operations are impacted by the accounting standards promulgated by the SEC and accounting standards bodies and the methods, estimates, and judgments that we use in applying our accounting policies. A change in accounting standards may have a significant effect on our reported results of operations and may even affect the reporting of transactions completed before the announcement or effectiveness of a change. The frequency of accounting standards changes could accelerate, including conversion to unified international accounting standards. Any future changes to accounting standards may cause our results of operations to fluctuate.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we enhance, expand, and diversify our business, products, and services, the application of existing or future financial accounting standards may harm our results of operations or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Future leverage could adversely affect our financial condition, our ability to raise additional capital to fund our operations, our ability to operate our business, and our ability to react to changes in the economy or our industry, as well as divert our cash flow from operations for debt payments and prevent us from meeting our debt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2026, we entered into the Revolving Credit Facility. To the extent we draw down this facility, our leverage could have an adverse effect on our business and financial condition, including:</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requiring a substantial portion of cash flow from operations to be dedicated to the payment of principal and interest on our indebtedness, thereby reducing our ability to use our cash flow to fund our operations and capital expenditures and pursue future business opportunities;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making it more difficult for us to satisfy our obligations with respect to our indebtedness, and any failure to comply with the obligations of any of our debt instruments, including restrictive covenants, could result in an event of default that accelerates our obligation to repay indebtedness;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restricting us from making strategic acquisitions;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limiting our ability to obtain additional financing for working capital, capital expenditures, product development, satisfaction of debt service requirements, acquisitions, and general corporate or other purposes;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increasing our vulnerability to adverse economic, industry, or competitive developments; and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limiting our flexibility in planning for, or reacting to, changes in our business or market conditions and placing us at a competitive disadvantage compared to our competitors who may be better positioned to take advantage of opportunities that our existing indebtedness prevents us from exploiting.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incur significant indebtedness in the future. Although the Revolving Credit Facility contains restrictions on the incurrence of indebtedness and entering into certain types of other transactions, these restrictions are subject to a number of qualifications and exceptions. Indebtedness incurred in compliance with these restrictions could be substantial. To the extent we incur indebtedness, the leverage risks described above would be exacerbated.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inability to generate sufficient cash flow to satisfy future obligations, or to refinance any indebtedness on commercially reasonable terms or at all (to the extent necessary), would result in an adverse effect on our business, results of operations, and financial condition.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terms of the Revolving Credit Facility restrict our current and future operations, particularly our ability to respond to changes or to take certain 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Phase Two Effective Date (as defined in the section titled “Management’s Discussion and Analysis of Financial Condition and Results of Operations”), the Revolving Credit Agreement imposes operating and financial restrictions on us and may limit our ability to engage in acts that may be in our long-term best interests, including restrictions (in each case, subject to certain exceptions) on our ability to:</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incur or guarantee additional indebtedness;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pay dividends and make other distributions on, or redeem or repurchase, capital stock;</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make certain investments;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incur certain liens;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enter into transactions with affiliates;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merge or consolidate;</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enter into agreements that restrict the ability of subsidiaries to make certain intercompany dividends, distributions, payments, or transfers; and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transfer or sell assets, including our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of the restrictions described above,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failure to comply with the restrictive covenants described above as well as the terms of any future indebtedness we may incur from time to time could result in an event of default, which, if not cured or waived, could result in our being required to repay these borrowings before their due date. </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multi-class structure of our capital stock as contained in our amended and restated certificate of incorporation has the effect of concentrating voting control with those stockholders who held our securities prior to the IPO, including our executive officers, employees, and directors and their affiliates, and limiting your ability to influence corporate matters, which could adversely affect the price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Class B common stock has 20 votes per share, and our Class A common stock has one vote per share. Following the completion of the IPO, based on beneficial ownership as of March 31, 2026, the holders of our outstanding Class B common stock hold approximately 99.2% of the voting power of our outstanding capital stock following the IPO, and our directors, executive officers, and stockholders holding more than 5% of our outstanding capital stock, together with their affiliates, beneficially own approximately 38.1% of our outstanding classes of common stock as a whole, but control approximately 50.9% of the voting power of our outstanding common stock. For more information, see the section titled “Principal Stockholders” in the Prospectus. As such, our executive officers, directors, and those stockholders who held our securities prior to the IPO have significant influence over our management and affairs and over all matters requiring stockholder approval, including election of directors and significant corporate transactions, such as a merger or other sale of the company or our assets, for the foreseeable future, and may have interests that differ from yours and may vote in a way with which you disagree and which may be adverse to your interests.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 holders of our Class B common stock collectively will continue to be able to control all matters submitted to our stockholders for approval even if their stock holdings represent less than 50% of the outstanding shares of our common stock. Because of the 20-to-1 voting ratio between our Class B common stock and Class A common stock, the holders of our Class B common stock collectively will continue to control a majority of the combined voting power of our common stock even when the shares of Class B common stock represent as little as 5% of the outstanding shares of our Class A common stock and Class B common stock. This concentrated control will limit your ability to influence corporate matters for the foreseeable future, and, as a result, the market price of our Class A common stock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Future transfers by holders of shares of Class B common stock will generally result in those shares converting to shares of Class A common stock, which will have the effect, over time, of increasing the relative voting power of those holders of Class B common stock who retain their shares in the long term. However, certain permitted transfers, as specified in our amended and restated certificate of incorporation, will not result in shares of Class B common stock automatically converting to shares of Class A common stock. As a result, it is possible that one or more of the persons or entities holding our Class B common stock could gain significant voting control as other holders of Class B common stock sell or otherwise convert their shares into Class A common stock. In addition, the conversion of Class B common stock to Class A common stock would dilute holders of Class A common stock, including holders of shares purchased in the IPO, in terms of voting power within the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Immediately following the completion of the IPO, no stockholder or group of stockholders controls over 50% of the voting power of our outstanding capital stock. However, if in the future a stockholder or group of stockholders controls over 50% of the voting power of our outstanding capital stock, we may be eligible to elect the “controlled company” exemptions to the Nasdaq corporate governance rules for publicly listed companies. If we are a “controlled company,” we would not be required to have a majority of our board of directors be independent, nor would we be required to have a compensation committee or an independent nominating and corporate governance committee. If we chose to take advantage of the “controlled company” status in the future, our status as a “controlled company” could cause our Class A common stock to be less attractive to certain investors and the market price of our Class A common stock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certain stock index providers exclude or limit the ability of companies with multi-class capital structures from being added to certain of their indices. Several shareholder advisory firms and large institutional investors also oppose the use of multi-class structures. Due to the multi-class structure of our capital stock, we may be excluded from certain indices and we cannot assure you that other stock indices will not take similar actions. Given the sustained flow of investment funds into passive strategies that seek to track certain indices, exclusion from certain stock indices may preclude investment by many of these funds and could make our Class A common stock less attractive to other investors. Our multi-class structure may also cause shareholder advisory firms to publish negative commentary about our corporate governance practices or otherwise seek to cause us to change our capital structure. Any actions or publications by shareholder advisory firms or institutional investors critical of our corporate governance practices or capital structure could also adversely affect the value of our Class A common stock and liquidity.</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price of our Class A common stock may be volatile and may decline regardless of our operating performance, and you may lose all or part of your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price of our Class A common stock has fluctuated and may fluctuate significantly in response to numerous factors, many of which are beyond our control, including:</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overall performance of the equity markets and/or publicly listed semiconductor companies.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actual or anticipated fluctuations in our financial and operating metrics;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an adverse development in our relationship with OpenAI or AWS, an adverse development in our strategic partnerships with G42 and MBZUAI, a material reduction in purchases by OpenAI, G42, MBZUAI, or AWS, or the anticipation of such events;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changes in the financial projections we provide to the public or our failure to meet these projections;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failure of securities analysts to initiate or maintain coverage of us, changes in financial estimates by any securities analysts who follow our company, or our failure to meet the estimates or the expectations of investors or analysts;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the economy as a whole and market conditions in our industry;</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rumors and market speculation, and operating results and forecasts, involving us or other companies in our industry;</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announcements by us or our competitors of significant innovations, acquisitions, strategic partnerships, joint ventures, or capital commitments;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lawsuits threatened or filed against us;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recruitment or departure of key personnel;</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changes in the U.S. regulatory environment impacting jurisdictions with which we can transact;</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other events or factors, including those resulting from war, incidents of terrorism, or responses to these events;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conversions of shares of Class B common stock or non-voting Class N common stock into shares of Class A common stock; and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anticipated sales of our common stock, including upon lock-up releases and the expiration of lock-up agreements or market standoff provisions described in the Prospectus.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extreme price and volume fluctuations in the stock markets have affected and continue to affect many semiconductor, AI, and technology companies’ stock prices. Often, their stock prices have fluctuated in ways unrelated or disproportionate to the companies’ operating performance. The AI industry has also experienced rapid growth and seen high valuations that have caused stock price volatility related to speculation of the industry’s future growth and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harm our business. 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Sales of our Class A common stock in the public market could cause the price of our common stock to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Class A common stock in the public market, particularly sales by our directors, executive officers, and principal stockholders, or the perception that these sales might occur, could cause the price of our Class A common stock to decline and could impair our ability to raise capital through the sale of additional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all of our directors and executive officers, and the holders of substantially all of our shares of Class A common stock outstanding and securities exercisable for or convertible into shares of our Class A common stock, have entered into lock-up agreements with the underwriters in the IPO and/or agreements with market standoff provisions that restrict our and their ability to sell or transfer shares of our capital stock and securities convertible into or exercisable or exchangeable for shares of our capital stock, for a period ending on the earlier of (i) 6:00 a.m. Eastern Time on the second trading day following our release of earnings for the quarter ending September 30, 2026 or (ii) 180 days after the date of the Prospectus (the “Lock-up Period”), subject to certain customary exceptions and provisions that provide for the early release of certain of our securities during the Lock-up Period. In connection with such early-release provisions, we estimate an aggregate of up to approximately 171.1 million shares will be released from lock-up agreements or market standoff provisions during the Lock-up Period, including up to approximately 15.0 million shares held by our directors and officers subject to reporting under Section 16 of the Exchange Act. Furthermore, pursuant to certain exceptions to the lock-up agreements and market standoff provisions, certain shares of our Class A common stock will be eligible for sale in the open market during the Lock-up Period in sell-to-cover transactions in order to satisfy tax withholding obligations in connection with the settlement of RSUs. Pursuant to such exceptions, we estimate up to an aggregate of 1.2 million shares may be sold in the open market on or around August 18, 2026 (representing a quarterly vesting of service-based RSUs) in connection with such tax withholding obligations (based on an assumed 44.3% tax withholding rate). In addition, certain exceptions to the lock-up agreements and market standoff provisions permit holders of stock options to sell shares of our Class A common stock on the open market to cover the tax obligations or payments due in connection with the exercise of such options. As of April 30, 2026, there were an aggregate of approximately 21.5 million vested stock options outstanding. Morgan Stanley &amp; Co. LLC, Citigroup Global Markets Inc., and Barclays Capital Inc., on behalf of the underwriters, may release any of the securities subject to these lock-up agreements and market standoff provisions at any time, subject to the applicable notice requirements. See the sections titled “Shares Eligible for Future Sale” and “Underwriters” in the Prospectus for a discussion of exceptions and the early-release provisions that allow for sales during the Lock-up Period. Sales of a substantial number of shares during the Lock-up Period and upon the expiration of the Lock-up Period or the perception that such sales may occur could cause the price of our Class A common stock to fall or make it more difficult for an investor to sell our Class A common stock at a time and price that an investor deems appropriate. Shares held by directors, executive officers, and other affiliates will be subject to volume limitations under Rule 144 under the Securities Act.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as of June 30, 2026, we had stock options outstanding that, if fully exercised, would result in the issuance of 21,906,818 shares of our Class A common stock and 5,315,618 shares of our Class B common stock and 15,145,010 shares of our Class A common stock and 12,483,860 shares of our Class B common stock issuable upon vesting of outstanding RSUs. We have registered the shares of our common stock subject to outstanding stock options and RSUs and shares that will be issuable pursuant to future awards granted under our equity incentive plans on Form S-8 under the Securities Act. These shares can be freely sold in the public market upon issuance, subject to applicable vesting requirements, compliance by affiliates with Rule 144, and other restrictions provided under the terms of the applicable plan and/or the award agreements entered into with participants.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holders of our common stock have rights, subject to some conditions, to require us to file registration statements for the public resale of shares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price of our Class A common stock to decline or be volatile.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incur significant costs as a result of operating as a public company, and our management is required to devote substantial time to support compliance with our public company responsibilities and corporate governance practices.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incur significant finance, legal, accounting, and other expenses, including director and officer liability insurance, that we did not incur as a private company, and which we expect to further increase after we are no longer an “emerging growth company.” The Sarbanes-Oxley Act, the Dodd-Frank Wall Street Reform and Consumer Protection Act, stock exchange listing requirements, and other applicable securities rules and regulations impose various requirements on public companies in the United States. Our management and other personnel are expected to devote a substantial amount of time to support compliance with these requirements. Moreover, these rules and regulations will increase our legal and financial compliance costs, including hiring additional personnel, and will make some activities more time-consuming and costly. We cannot predict or estimate the amount of additional costs we will incur as a public company or the specific timing of such costs.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currently have no plans to pay dividends on our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shares of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and will depend on many factors, including our financial condition, results of operations, earnings, capital requirements, business expansion opportunities, level of indebtedness, statutory and contractual restrictions applying to the payment of dividends, and other considerations that our board of directors deem relevant. In addition, the Revolving Credit Agreement contains restrictions on our ability to pay cash dividends on our Class A common stock. Our ability to pay dividends may be further restricted by agreements we may enter into in the future. Accordingly, you may need to rely on sales of our Class A common stock after price appreciation, which may never occur, as the only way to realize any future gains on your investment.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we may be slow to attract research coverage, and the analysts who publish information about our Class A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may decline. In addition, the stock prices of many companies in the technology industry have declined significantly after those companies have failed to meet, or exceed, the financial guidance publicly announced by the companies or the expectations of analysts. If our results of operations fail to meet, or exceed, our announced guidance or the expectations of analysts or public investors, analysts could downgrade our Class A common stock or publish unfavorable research about us, and the price of our Class A common stock would likely decline as a result of such failure to meet our guidance or analyst expectations. If one or more of these analysts cease coverage of our Class A common stock or fail to publish reports on us regularly, our visibility in the financial markets could decrease, which in turn could cause our stock price or trading volume to decline.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For as long as we are an emerging growth company, we will not be required to comply with certain reporting requirements, including those relating to accounting standards and disclosure about our executive compensation, that apply to other public companies.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unaudited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until the first to occur of: (1) the last day of the year following the fifth anniversary of the IPO; (2) the last day of the first year in which our annual gross revenue is $1.235 billion or more; (3) the date on which we have, during the previous rolling three-year period, issued more than $1.0 billion in non-convertible debt securities; and (4) the date we qualify as a “large accelerated filer,” with at least $700 million of equity securities held by non-affiliates.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cannot predict if investors will find our Class A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Anti-takeover provisions contained in our amended and restated certificate of incorporation and amended and restated bylaws, as well as provisions of Delaware law, could impair a takeover attempt.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and Delaware law contains, provisions which could have the effect of rendering more difficult, delaying, or preventing an acquisition deemed undesirable by our board of directors. These provisions provide for the following:</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our multi-class structure of our capital stock, which provides holders of our Class B common stock with the ability to significantly influence the outcome of matters requiring stockholder approval, even if they own significantly less than a majority of the shares of our outstanding capital stock;</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a classified board of directors with staggered three-year terms, which may delay the ability of stockholders to change the membership of a majority of our board of directors;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the exclusive right of our board of directors to establish the size of the board of directors and to appoint a director to fill a vacancy, however occurring, including by expanding the board of directors;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the ability of our board of directors to alter our amended and restated bylaws without obtaining stockholder approval;</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supermajority voting requirement to amend certain provisions in our amended and restated certificate of incorporation and amended and restated bylaws;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the requirement that a special meeting of stockholders may be called only by our Chief Executive Officer or a majority of our board of directors then in office, which may delay the ability of our stockholders to force consideration of a proposal or to take action, including the removal of directors;</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and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the limitation of liability of, and provision of indemnification to, our directors and officers.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provisions, alone or together, could delay or prevent hostile takeovers and changes in control or changes in our management.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as permitted by Section 145 of the Delaware General Corporation Law, our amended and restated bylaws and our indemnification agreements that we have entered or intend to enter into with our directors and officers provide that:</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will undertake to repay such advances if it is ultimately determined that such person is not entitled to indemnification;</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 and</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we may not retroactively amend our amended and restated bylaw provisions to reduce our indemnification obligations to directors, officers, employees, and agents.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maintain a directors’ and officers’ insurance policy, such insurance may not be adequate to cover all liabilities that we may incur, which may reduce our available funds to satisfy third-party claims and may harm our business and financial position.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or as to which the Delaware General Corporation Law confers jurisdiction on the Court of Chancery of the State of Delaware, or (D) any action asserting a claim related to or involving the company that is governed by the internal affairs doctrine; (ii) unless we consent in writing to the selection of an alternative forum, the federal district courts of the United States will, to the fullest extent permitted by law, be the sole and exclusive forum for the resolution of any complaint asserting a cause of action arising under the Securities Act, and the rules and regulations promulgated thereunder; (iii) any person or entity purchasing or otherwise acquiring or holding any interest in shares of capital stock of the company will be deemed to have notice of and consented to these provisions; and (iv) failure to enforce the foregoing provisions would cause us irreparable harm, and we will be entitled to equitable relief, including injunctive relief and specific performance, to enforce the foregoing provisions. Nothing in our current certificate of incorporation or bylaws or our amended and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choice of forum provisions may limit a stockholder’s ability to bring a claim in a judicial forum that it finds favorable for disputes with us or any of our current or former directors, officers, other employees, agents, or stockholders, which may discourage such claims against us or any of our current or former directors, officers, other employees, agents, or stockholders and result in increased costs for investors to bring a claim.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Option, Warrant, and Common Stock Issuances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April 1, 2026 to June 30, 2026, we issued and sold to our employees, consultants, and other service providers an aggregate of 3,325,730 shares of our Class A common stock upon the exercise of stock options under our 2016 Equity Incentive Plan (as amended, the “2016 Plan”), at exercise prices ranging from $0.36 to $13.01 per share, for a weighted-average exercise price of $4.48 per share, after giving effect to conversion of shares of our Class B common stock to shares of and awards for our Class A common stock that occurred in May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April 1, 2026 to June 30, 2026, we granted to our employees, consultants, and other service providers restricted stock units covering an aggregate of 2,012,014 shares of our Class A common stock under the 2016 Plan, after giving effect to conversion of shares of and awards for our Class B common stock to shares of our Class A common stock that occurred in May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2026, we issued a warrant to G42 to purchase an aggregate of up to 1,655,975 shares of Class N common stock at an exercise price of $0.01 per share (the “2026 G42 Warrant”). The 2026 G42 Warrant was exercised in full in April 2026, pursuant to which we sold an aggregate of 1,655,975 shares of Class N common stock for an aggregate purchase price of $17 thousand.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2026, we issued to Amazon.com NV Investment Holdings LLC (“AWS Warrantholder”) a warrant (the “AWS Warrant”) to acquire up to 2,696,678 shares of Class N common stock (the “AWS Warrant Shares”) at an exercise price of $100.00 per AWS Warrant Share. Of these AWS Warrant Shares, 269,668 AWS Warrant Shares vested immediately upon issuance of the AWS Warrant, and the remaining 2,427,010 AWS Warrant Shares vest in tranches upon the attainment of specified payment thresholds prior to the fifth anniversary of issuance, based on aggregate payments by affiliates of the AWS Warrantholder to us pursuant to certain commercial arrangements between the parties. Upon the consummation of a change of control of Cerebras, if the AWS Warrant is vested with respect to fewer than 1,618,007 AWS Warrant Shares, then a number of additional AWS Warrant Shares will vest such that an aggregate of 1,618,007 AWS Warrant Shares are vested. The AWS Warrant includes a limitation on exercise that prohibits the AWS Warrantholder from beneficially owning more than 4.999% of our outstanding Class A common stock and Class N common stock collectively (subject to the AWS Warrantholder’s ability to increase such limit). The AWS Warrant expires on June 19, 2033.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these offers, sales, and issuances were exempt from registration under the Securities Act, in reliance upon Section 4(a)(2) of the Securities Act or Regulation D promulgated thereunder, or Rule 701 promulgated under the Securities Act as transactions by an issuer not involving a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Use of Proceeds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May 15, 2026, we closed the IPO, in which we sold 34,500,000 shares of our Class A common stock at a price to the public of $185.00 per share. The shares offered and sold in the IPO were registered under the Securities Act pursuant to a registration statement on Form S-1 (File No. 333-295145), which was declared effective by the SEC on May 13, 2026. We raised $6.2 billion, after deducting underwriting discounts and commissions and estimated offering expenses of $165.4 million. We utilized a portion of the net proceeds to satisfy our tax withholding and remittance obligations arising from the settlement of RSUs for which the service condition had been satisfied prior to the IPO and for which the performance condition was satisfied upon completion of the IPO. We expect to use the remaining net proceeds for general corporate purposes, including working capital and operating expenses. Additionally, we may use a portion of the net proceeds to acquire or invest in businesses, products, services or technologies. However, we do not have agreements or commitments for any material acquisitions or investments at this time. We cannot specify with certainty the particular uses of the net proceeds that we received from the IPO. Accordingly, we will have broad discretion in using these proceeds. Pending the use of proceeds from the IPO as described above, we may invest the net proceeds that we received in the IPO in short-duration fixed income securities, including government debt securities and money market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following directors or officers (as defined in Rule 16a-1(f) of the Securities Exchange Act of 1934, as amended) adopted, modified, or terminated a trading arrangement intended to satisfy the affirmative defense of Rule 10b5-1(c) (each a “Rule 10b5-1 Trading Arrangement”):</w:t>
      </w:r>
    </w:p>
    <w:tbl>
      <w:tblPr>
        <w:tblW w:w="10205" w:type="dxa"/>
        <w:jc w:val="left"/>
        <w:tblInd w:w="0" w:type="dxa"/>
        <w:tblLayout w:type="fixed"/>
        <w:tblCellMar>
          <w:top w:w="28" w:type="dxa"/>
          <w:left w:w="28" w:type="dxa"/>
          <w:bottom w:w="28" w:type="dxa"/>
          <w:right w:w="28" w:type="dxa"/>
        </w:tblCellMar>
      </w:tblPr>
      <w:tblGrid>
        <w:gridCol w:w="443"/>
        <w:gridCol w:w="270"/>
        <w:gridCol w:w="271"/>
        <w:gridCol w:w="109"/>
        <w:gridCol w:w="109"/>
        <w:gridCol w:w="109"/>
        <w:gridCol w:w="657"/>
        <w:gridCol w:w="427"/>
        <w:gridCol w:w="428"/>
        <w:gridCol w:w="109"/>
        <w:gridCol w:w="109"/>
        <w:gridCol w:w="109"/>
        <w:gridCol w:w="343"/>
        <w:gridCol w:w="343"/>
        <w:gridCol w:w="350"/>
        <w:gridCol w:w="109"/>
        <w:gridCol w:w="109"/>
        <w:gridCol w:w="109"/>
        <w:gridCol w:w="251"/>
        <w:gridCol w:w="251"/>
        <w:gridCol w:w="252"/>
        <w:gridCol w:w="109"/>
        <w:gridCol w:w="109"/>
        <w:gridCol w:w="109"/>
        <w:gridCol w:w="109"/>
        <w:gridCol w:w="756"/>
        <w:gridCol w:w="426"/>
        <w:gridCol w:w="428"/>
        <w:gridCol w:w="109"/>
        <w:gridCol w:w="109"/>
        <w:gridCol w:w="109"/>
        <w:gridCol w:w="747"/>
        <w:gridCol w:w="747"/>
        <w:gridCol w:w="1071"/>
      </w:tblGrid>
      <w:tr>
        <w:trPr/>
        <w:tc>
          <w:tcPr>
            <w:tcW w:w="44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w:t>
              <w:br/>
              <w:t>Director or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Action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Shares of Common Stock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Expiration Date</w:t>
            </w:r>
            <w:r>
              <w:rPr>
                <w:rFonts w:ascii="Times New Roman;serif" w:hAnsi="Times New Roman;serif"/>
                <w:b/>
                <w:color w:val="000000"/>
                <w:sz w:val="13"/>
              </w:rPr>
              <w:t>(1)</w:t>
            </w:r>
          </w:p>
        </w:tc>
      </w:tr>
      <w:tr>
        <w:trPr/>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Vishria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18,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650,153 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Close of market on the 2nd full trading day following the release of earnings for the Company’s fiscal quarter ending December 31, 2026</w:t>
            </w:r>
          </w:p>
        </w:tc>
      </w:tr>
      <w:tr>
        <w:trPr/>
        <w:tc>
          <w:tcPr>
            <w:tcW w:w="98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Lior Susan</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19,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417,363 </w:t>
            </w:r>
          </w:p>
        </w:tc>
        <w:tc>
          <w:tcPr>
            <w:tcW w:w="428"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8, 2027</w:t>
            </w:r>
          </w:p>
        </w:tc>
      </w:tr>
      <w:tr>
        <w:trPr/>
        <w:tc>
          <w:tcPr>
            <w:tcW w:w="9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24,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vMerge w:val="continue"/>
            <w:tcBorders/>
            <w:tcMar>
              <w:top w:w="0" w:type="dxa"/>
              <w:left w:w="0" w:type="dxa"/>
              <w:bottom w:w="0" w:type="dxa"/>
              <w:right w:w="0" w:type="dxa"/>
            </w:tcMar>
            <w:vAlign w:val="center"/>
          </w:tcPr>
          <w:p>
            <w:pPr>
              <w:pStyle w:val="Normal"/>
              <w:bidi w:val="0"/>
              <w:jc w:val="left"/>
              <w:rPr/>
            </w:pPr>
            <w:r>
              <w:rPr/>
            </w:r>
          </w:p>
        </w:tc>
        <w:tc>
          <w:tcPr>
            <w:tcW w:w="428"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Andrew Feldman</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2027</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Sean Lie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Technology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1,872,000 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27, 2027</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Yagnesh Patel</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34,375 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2027</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Komin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128,000 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2027</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Dhiraj Mallick</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851,139 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2027</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Each Rule 10b5-1 Trading Arrangement only permits transactions upon expiration of the applicable mandatory cooling-off period under Rule 10b5-1(c) and permits transactions through and including, and is scheduled to terminate on, the earlier to occur of (a) the completion of sales or (b) the expiration date listed in the table.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This Rule 10b5-1 Trading Arrangement was adopted on May 19, 2026 for sales through January 8, 2027 and was terminated on June 24, 2026. No shares were sold under this Rule 10b5-1 Trading Arrangement prior to termination.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This Rule 10b5-1 Trading Arrangement includes a gift of 50,000 shares of Class A common stock to a donor-advised fund sponsored by a charitable organization under Section 501(c)(3) of the Internal Revenue Code.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This Rule 10b5-1 Trading Arrangement includes a gift of 432,000 shares of Class A common stock to a donor-advised fund sponsored by a charitable organization under Section 501(c)(3) of the Internal Revenue Code.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This Rule 10b5-1 Trading Arrangement covers the sale of shares of Class A common stock to be received following the vesting of certain stock-based awards and the satisfaction of tax obligations in connection with such vesting. The number of shares to be sold pursuant to this Rule 10b5-1 Trading Arrangement is dependent on the tax obligation incurred in connection with the vesting of the awards and, therefore, is indeterminable at this time.</w:t>
      </w:r>
    </w:p>
    <w:p>
      <w:pPr>
        <w:pStyle w:val="TextBody"/>
        <w:bidi w:val="0"/>
        <w:spacing w:before="0" w:after="0"/>
        <w:ind w:left="0" w:right="0" w:hanging="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adopted or terminated a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7"/>
        <w:gridCol w:w="235"/>
        <w:gridCol w:w="236"/>
        <w:gridCol w:w="109"/>
        <w:gridCol w:w="109"/>
        <w:gridCol w:w="109"/>
        <w:gridCol w:w="1898"/>
        <w:gridCol w:w="1669"/>
        <w:gridCol w:w="1600"/>
        <w:gridCol w:w="109"/>
        <w:gridCol w:w="109"/>
        <w:gridCol w:w="109"/>
        <w:gridCol w:w="173"/>
        <w:gridCol w:w="173"/>
        <w:gridCol w:w="175"/>
        <w:gridCol w:w="109"/>
        <w:gridCol w:w="109"/>
        <w:gridCol w:w="109"/>
        <w:gridCol w:w="213"/>
        <w:gridCol w:w="213"/>
        <w:gridCol w:w="215"/>
        <w:gridCol w:w="109"/>
        <w:gridCol w:w="109"/>
        <w:gridCol w:w="109"/>
        <w:gridCol w:w="204"/>
        <w:gridCol w:w="204"/>
        <w:gridCol w:w="205"/>
        <w:gridCol w:w="109"/>
        <w:gridCol w:w="109"/>
        <w:gridCol w:w="109"/>
        <w:gridCol w:w="257"/>
        <w:gridCol w:w="257"/>
        <w:gridCol w:w="376"/>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Filed or </w:t>
              <w:br/>
              <w:t xml:space="preserve">Furnished </w:t>
              <w:br/>
              <w:t>Herewith</w:t>
            </w:r>
          </w:p>
        </w:tc>
      </w:tr>
      <w:tr>
        <w:trPr/>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Reference is made to Exhibits 3.1 and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 xml:space="preserve">Form of Class A Common Stock Certificate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Investors’ Rights Agreement, dated as of January 28, 2026, by and among the Registrant and the investors listed therein</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2026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Form of Stock Option Grant Notice and Stock Option Agreement under the 2026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80"/>
                  <w:sz w:val="20"/>
                  <w:u w:val="single"/>
                </w:rPr>
                <w:t>Form of Restricted Stock Unit Award Grant Notice and Restricted Stock</w:t>
              </w:r>
            </w:hyperlink>
            <w:hyperlink r:id="rId9">
              <w:r>
                <w:rPr>
                  <w:rStyle w:val="InternetLink"/>
                  <w:rFonts w:ascii="Times New Roman;serif" w:hAnsi="Times New Roman;serif"/>
                  <w:b w:val="false"/>
                  <w:color w:val="000080"/>
                  <w:sz w:val="20"/>
                  <w:u w:val="single"/>
                </w:rPr>
                <w:t xml:space="preserve"> </w:t>
              </w:r>
            </w:hyperlink>
            <w:hyperlink r:id="rId10">
              <w:r>
                <w:rPr>
                  <w:rStyle w:val="InternetLink"/>
                  <w:rFonts w:ascii="Times New Roman;serif" w:hAnsi="Times New Roman;serif"/>
                  <w:b w:val="false"/>
                  <w:color w:val="000080"/>
                  <w:sz w:val="20"/>
                  <w:u w:val="single"/>
                </w:rPr>
                <w:t xml:space="preserve">Unit Award Agreement under </w:t>
              </w:r>
            </w:hyperlink>
            <w:hyperlink r:id="rId11">
              <w:r>
                <w:rPr>
                  <w:rStyle w:val="InternetLink"/>
                  <w:rFonts w:ascii="Times New Roman;serif" w:hAnsi="Times New Roman;serif"/>
                  <w:b w:val="false"/>
                  <w:color w:val="000080"/>
                  <w:sz w:val="20"/>
                  <w:u w:val="single"/>
                </w:rPr>
                <w:t>the 2026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2026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Non-Employee Director Compensation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80"/>
                  <w:sz w:val="20"/>
                  <w:u w:val="single"/>
                </w:rPr>
                <w:t>Form of Indemnification and Advancement Agreement between the</w:t>
              </w:r>
            </w:hyperlink>
            <w:hyperlink r:id="rId15">
              <w:r>
                <w:rPr>
                  <w:rStyle w:val="InternetLink"/>
                  <w:rFonts w:ascii="Times New Roman;serif" w:hAnsi="Times New Roman;serif"/>
                  <w:b w:val="false"/>
                  <w:color w:val="000080"/>
                  <w:sz w:val="20"/>
                  <w:u w:val="single"/>
                </w:rPr>
                <w:t xml:space="preserve"> </w:t>
              </w:r>
            </w:hyperlink>
            <w:hyperlink r:id="rId16">
              <w:r>
                <w:rPr>
                  <w:rStyle w:val="InternetLink"/>
                  <w:rFonts w:ascii="Times New Roman;serif" w:hAnsi="Times New Roman;serif"/>
                  <w:b w:val="false"/>
                  <w:color w:val="000080"/>
                  <w:sz w:val="20"/>
                  <w:u w:val="single"/>
                </w:rPr>
                <w:t xml:space="preserve">Registrant and each of its </w:t>
              </w:r>
            </w:hyperlink>
            <w:hyperlink r:id="rId17">
              <w:r>
                <w:rPr>
                  <w:rStyle w:val="InternetLink"/>
                  <w:rFonts w:ascii="Times New Roman;serif" w:hAnsi="Times New Roman;serif"/>
                  <w:b w:val="false"/>
                  <w:color w:val="000080"/>
                  <w:sz w:val="20"/>
                  <w:u w:val="single"/>
                </w:rPr>
                <w:t>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Revolving Credit and Guaranty Agreement, dated as of April 14, 2026, by and among the Registrant, the obligors, lenders, and issuing banks party thereto, and Morgan Stanley Senior Funding, Inc., as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1rule13a-14a_15dx14acer.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2rule13a-14a_15dx14acer.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1section1350certificati.htm">
              <w:r>
                <w:rPr>
                  <w:rStyle w:val="InternetLink"/>
                  <w:rFonts w:ascii="Times New Roman;serif" w:hAnsi="Times New Roman;serif"/>
                  <w:b w:val="false"/>
                  <w:color w:val="0000FF"/>
                  <w:sz w:val="20"/>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#Indicates management contract or compensatory plan.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Portions of this exhibit have been omitted in accordance with Item 601(a)(5) of Regulation S-K. The Registrant undertakes to furnish a copy of all omitted schedules and exhibits to the SEC upon its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180"/>
        <w:jc w:val="left"/>
        <w:rPr/>
      </w:pPr>
      <w:hyperlink w:anchor="i0b9bae19d61f41a698944f6297eab4de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422"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401"/>
        <w:gridCol w:w="401"/>
        <w:gridCol w:w="401"/>
        <w:gridCol w:w="937"/>
        <w:gridCol w:w="937"/>
        <w:gridCol w:w="133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CEREBRAS SYSTEMS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D. Feldman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D. Feldman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Komin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Komin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Yagnesh Patel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Yagnesh Patel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EXECUTIVE OFFICER PURSUANT TO EXCHANGE ACT RULE 13a-14(a) AND 15d-14(a) AS ADOPTED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Andrew D. Feldman,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Cerebras Systems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845" w:type="dxa"/>
        <w:jc w:val="left"/>
        <w:tblInd w:w="0" w:type="dxa"/>
        <w:tblLayout w:type="fixed"/>
        <w:tblCellMar>
          <w:top w:w="28" w:type="dxa"/>
          <w:left w:w="28" w:type="dxa"/>
          <w:bottom w:w="28" w:type="dxa"/>
          <w:right w:w="28" w:type="dxa"/>
        </w:tblCellMar>
      </w:tblPr>
      <w:tblGrid>
        <w:gridCol w:w="590"/>
        <w:gridCol w:w="518"/>
        <w:gridCol w:w="737"/>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August 12, 2026</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/s/ Andrew D. Feldman</w:t>
            </w:r>
          </w:p>
        </w:tc>
      </w:tr>
      <w:tr>
        <w:trPr/>
        <w:tc>
          <w:tcPr>
            <w:tcW w:w="18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Andrew D. Feldman</w:t>
            </w:r>
          </w:p>
        </w:tc>
      </w:tr>
      <w:tr>
        <w:trPr/>
        <w:tc>
          <w:tcPr>
            <w:tcW w:w="184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FINANCIAL OFFICER PURSUANT TO EXCHANGE ACT RULE 13a-14(a) AND 15d-14(a) AS ADOPTED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Robert Komin,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Cerebras Systems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800" w:type="dxa"/>
        <w:jc w:val="left"/>
        <w:tblInd w:w="0" w:type="dxa"/>
        <w:tblLayout w:type="fixed"/>
        <w:tblCellMar>
          <w:top w:w="28" w:type="dxa"/>
          <w:left w:w="28" w:type="dxa"/>
          <w:bottom w:w="28" w:type="dxa"/>
          <w:right w:w="28" w:type="dxa"/>
        </w:tblCellMar>
      </w:tblPr>
      <w:tblGrid>
        <w:gridCol w:w="576"/>
        <w:gridCol w:w="505"/>
        <w:gridCol w:w="719"/>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August 12, 2026</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/s/ Robert Komin</w:t>
            </w:r>
          </w:p>
        </w:tc>
      </w:tr>
      <w:tr>
        <w:trPr/>
        <w:tc>
          <w:tcPr>
            <w:tcW w:w="18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Robert Komin</w:t>
            </w:r>
          </w:p>
        </w:tc>
      </w:tr>
      <w:tr>
        <w:trPr/>
        <w:tc>
          <w:tcPr>
            <w:tcW w:w="180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CERTIFICATIONS OF PRINCIPAL EXECUTIVE OFFICER AND PRINCIPAL FINANCIAL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18 U.S.C. Section 1350, as adopted pursuant to Section 906 of the Sarbanes-Oxley Act of 2002, I, Andrew D. Feldman, Chief Executive Officer of Cerebras Systems Inc. (the “Company”) hereby certify, that, to the best of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(1)The Quarterly Report on Form 10-Q for the period ended June 30, 2026 (the “Report”) of the Company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1845" w:type="dxa"/>
        <w:jc w:val="left"/>
        <w:tblInd w:w="0" w:type="dxa"/>
        <w:tblLayout w:type="fixed"/>
        <w:tblCellMar>
          <w:top w:w="28" w:type="dxa"/>
          <w:left w:w="28" w:type="dxa"/>
          <w:bottom w:w="28" w:type="dxa"/>
          <w:right w:w="28" w:type="dxa"/>
        </w:tblCellMar>
      </w:tblPr>
      <w:tblGrid>
        <w:gridCol w:w="590"/>
        <w:gridCol w:w="518"/>
        <w:gridCol w:w="737"/>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August 12, 2026</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/s/ Andrew D. Feldman</w:t>
            </w:r>
          </w:p>
        </w:tc>
      </w:tr>
      <w:tr>
        <w:trPr/>
        <w:tc>
          <w:tcPr>
            <w:tcW w:w="18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Andrew D. Feldman</w:t>
            </w:r>
          </w:p>
        </w:tc>
      </w:tr>
      <w:tr>
        <w:trPr/>
        <w:tc>
          <w:tcPr>
            <w:tcW w:w="184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18 U.S.C. Section 1350, as adopted pursuant to Section 906 of the Sarbanes-Oxley Act of 2002, I, Robert Komin, Chief Financial Officer of Cerebras Systems Inc. (the “Company”) hereby certify,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(1)The Quarterly Report on Form 10-Q for the period ended June 30, 2026 (the “Report”) of the Company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1800" w:type="dxa"/>
        <w:jc w:val="left"/>
        <w:tblInd w:w="0" w:type="dxa"/>
        <w:tblLayout w:type="fixed"/>
        <w:tblCellMar>
          <w:top w:w="28" w:type="dxa"/>
          <w:left w:w="28" w:type="dxa"/>
          <w:bottom w:w="28" w:type="dxa"/>
          <w:right w:w="28" w:type="dxa"/>
        </w:tblCellMar>
      </w:tblPr>
      <w:tblGrid>
        <w:gridCol w:w="576"/>
        <w:gridCol w:w="505"/>
        <w:gridCol w:w="719"/>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August 12, 2026</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/s/ Robert Komin</w:t>
            </w:r>
          </w:p>
        </w:tc>
      </w:tr>
      <w:tr>
        <w:trPr/>
        <w:tc>
          <w:tcPr>
            <w:tcW w:w="18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Robert Komin</w:t>
            </w:r>
          </w:p>
        </w:tc>
      </w:tr>
      <w:tr>
        <w:trPr/>
        <w:tc>
          <w:tcPr>
            <w:tcW w:w="180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before="0" w:after="0"/>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1728/000162828026035605/exhibit31-8xk.htm" TargetMode="External"/><Relationship Id="rId3" Type="http://schemas.openxmlformats.org/officeDocument/2006/relationships/hyperlink" Target="https://www.sec.gov/Archives/edgar/data/2021728/000162828026035605/exhibit32-8xk.htm" TargetMode="External"/><Relationship Id="rId4" Type="http://schemas.openxmlformats.org/officeDocument/2006/relationships/hyperlink" Target="https://www.sec.gov/Archives/edgar/data/2021728/000162828026025762/exhibit42-sx1.htm" TargetMode="External"/><Relationship Id="rId5" Type="http://schemas.openxmlformats.org/officeDocument/2006/relationships/hyperlink" Target="https://www.sec.gov/Archives/edgar/data/2021728/000162828026025762/exhibit43-sx1.htm" TargetMode="External"/><Relationship Id="rId6" Type="http://schemas.openxmlformats.org/officeDocument/2006/relationships/hyperlink" Target="https://www.sec.gov/Archives/edgar/data/2021728/000162828026033143/exhibit103a-sx1a2.htm" TargetMode="External"/><Relationship Id="rId7" Type="http://schemas.openxmlformats.org/officeDocument/2006/relationships/hyperlink" Target="https://www.sec.gov/Archives/edgar/data/2021728/000162828026025762/exhibit103b-sx1.htm" TargetMode="External"/><Relationship Id="rId8" Type="http://schemas.openxmlformats.org/officeDocument/2006/relationships/hyperlink" Target="https://www.sec.gov/Archives/edgar/data/2021728/000162828026025762/exhibit103c-sx1.htm" TargetMode="External"/><Relationship Id="rId9" Type="http://schemas.openxmlformats.org/officeDocument/2006/relationships/hyperlink" Target="https://www.sec.gov/Archives/edgar/data/2021728/000162828026025762/exhibit103c-sx1.htm" TargetMode="External"/><Relationship Id="rId10" Type="http://schemas.openxmlformats.org/officeDocument/2006/relationships/hyperlink" Target="https://www.sec.gov/Archives/edgar/data/2021728/000162828026025762/exhibit103c-sx1.htm" TargetMode="External"/><Relationship Id="rId11" Type="http://schemas.openxmlformats.org/officeDocument/2006/relationships/hyperlink" Target="https://www.sec.gov/Archives/edgar/data/2021728/000162828026025762/exhibit103c-sx1.htm" TargetMode="External"/><Relationship Id="rId12" Type="http://schemas.openxmlformats.org/officeDocument/2006/relationships/hyperlink" Target="https://www.sec.gov/Archives/edgar/data/2021728/000162828026033143/exhibit104-sx1a2.htm" TargetMode="External"/><Relationship Id="rId13" Type="http://schemas.openxmlformats.org/officeDocument/2006/relationships/hyperlink" Target="https://www.sec.gov/Archives/edgar/data/2021728/000162828026025762/exhibit105-sx1.htm" TargetMode="External"/><Relationship Id="rId14" Type="http://schemas.openxmlformats.org/officeDocument/2006/relationships/hyperlink" Target="https://www.sec.gov/Archives/edgar/data/2021728/000162828026025762/exhibit106-sx1.htm" TargetMode="External"/><Relationship Id="rId15" Type="http://schemas.openxmlformats.org/officeDocument/2006/relationships/hyperlink" Target="https://www.sec.gov/Archives/edgar/data/2021728/000162828026025762/exhibit106-sx1.htm" TargetMode="External"/><Relationship Id="rId16" Type="http://schemas.openxmlformats.org/officeDocument/2006/relationships/hyperlink" Target="https://www.sec.gov/Archives/edgar/data/2021728/000162828026025762/exhibit106-sx1.htm" TargetMode="External"/><Relationship Id="rId17" Type="http://schemas.openxmlformats.org/officeDocument/2006/relationships/hyperlink" Target="https://www.sec.gov/Archives/edgar/data/2021728/000162828026025762/exhibit106-sx1.htm" TargetMode="External"/><Relationship Id="rId18" Type="http://schemas.openxmlformats.org/officeDocument/2006/relationships/hyperlink" Target="https://www.sec.gov/Archives/edgar/data/2021728/000162828026025762/exhibit1018-sx1.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66861</Words>
  <Characters>373108</Characters>
  <CharactersWithSpaces>437909</CharactersWithSpaces>
  <Paragraphs>3840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